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F1AB4" w14:textId="77777777" w:rsidR="00B34C71" w:rsidRPr="00B34C71" w:rsidRDefault="00B34C71" w:rsidP="00B34C71">
      <w:pPr>
        <w:spacing w:after="0"/>
        <w:jc w:val="left"/>
      </w:pPr>
    </w:p>
    <w:p w14:paraId="1F6771EC" w14:textId="1848FA10" w:rsidR="00500A4E" w:rsidRPr="00FC6231" w:rsidRDefault="00500A4E" w:rsidP="00FC6231">
      <w:pPr>
        <w:pStyle w:val="Heading1RestartNumbering"/>
        <w:jc w:val="center"/>
        <w:rPr>
          <w:rFonts w:ascii="Arial" w:hAnsi="Arial"/>
          <w:b/>
          <w:sz w:val="18"/>
          <w:u w:val="single"/>
        </w:rPr>
      </w:pPr>
      <w:r w:rsidRPr="00FC6231">
        <w:rPr>
          <w:rFonts w:ascii="Arial" w:hAnsi="Arial"/>
          <w:b/>
          <w:sz w:val="18"/>
          <w:u w:val="single"/>
        </w:rPr>
        <w:t>PART G25</w:t>
      </w:r>
      <w:r w:rsidR="00FC6231" w:rsidRPr="00FC6231">
        <w:rPr>
          <w:rFonts w:ascii="Arial" w:hAnsi="Arial"/>
          <w:b/>
          <w:sz w:val="18"/>
          <w:u w:val="single"/>
        </w:rPr>
        <w:br/>
      </w:r>
      <w:r w:rsidR="00FC6231" w:rsidRPr="00FC6231">
        <w:rPr>
          <w:rFonts w:ascii="Arial" w:hAnsi="Arial"/>
          <w:b/>
          <w:sz w:val="18"/>
          <w:u w:val="single"/>
        </w:rPr>
        <w:br/>
      </w:r>
      <w:r w:rsidRPr="00FC6231">
        <w:rPr>
          <w:rFonts w:ascii="Arial" w:hAnsi="Arial"/>
          <w:b/>
          <w:sz w:val="18"/>
          <w:u w:val="single"/>
        </w:rPr>
        <w:t>RISK MANAGEMENT</w:t>
      </w:r>
    </w:p>
    <w:p w14:paraId="5E8A2BC5" w14:textId="77777777" w:rsidR="00500A4E" w:rsidRPr="00FE27BD" w:rsidRDefault="00500A4E" w:rsidP="00500A4E"/>
    <w:p w14:paraId="75BE17E1" w14:textId="77777777" w:rsidR="00500A4E" w:rsidRPr="00FE27BD" w:rsidRDefault="00500A4E" w:rsidP="00500A4E">
      <w:pPr>
        <w:rPr>
          <w:b/>
          <w:bCs/>
          <w:u w:val="single"/>
        </w:rPr>
      </w:pPr>
      <w:r w:rsidRPr="00FE27BD">
        <w:rPr>
          <w:b/>
          <w:bCs/>
          <w:u w:val="single"/>
        </w:rPr>
        <w:t>CONTENTS</w:t>
      </w:r>
    </w:p>
    <w:p w14:paraId="18A7017C" w14:textId="77777777" w:rsidR="00500A4E" w:rsidRPr="00FE27BD" w:rsidRDefault="00500A4E" w:rsidP="00500A4E"/>
    <w:p w14:paraId="207119A5" w14:textId="77777777" w:rsidR="00FC6231" w:rsidRPr="00FC6231" w:rsidRDefault="00FC6231" w:rsidP="00FC6231">
      <w:pPr>
        <w:pStyle w:val="TOC3"/>
        <w:tabs>
          <w:tab w:val="left" w:pos="1844"/>
          <w:tab w:val="right" w:pos="9627"/>
        </w:tabs>
        <w:ind w:hanging="907"/>
        <w:rPr>
          <w:rFonts w:eastAsiaTheme="minorEastAsia"/>
          <w:noProof/>
          <w:sz w:val="22"/>
          <w:szCs w:val="22"/>
        </w:rPr>
      </w:pPr>
      <w:r w:rsidRPr="00FC6231">
        <w:fldChar w:fldCharType="begin"/>
      </w:r>
      <w:r w:rsidRPr="00FC6231">
        <w:instrText xml:space="preserve"> TOC \o "3-3" \n \h \z \t "Title,1,Style Heading 2,2,Style Heading 1 Restart Numbering + Arial 9 pt Bold Underline,1" </w:instrText>
      </w:r>
      <w:r w:rsidRPr="00FC6231">
        <w:fldChar w:fldCharType="separate"/>
      </w:r>
      <w:hyperlink w:anchor="_Toc487711848" w:history="1">
        <w:r w:rsidRPr="00FC6231">
          <w:rPr>
            <w:rStyle w:val="Hyperlink"/>
            <w:noProof/>
          </w:rPr>
          <w:t>1.</w:t>
        </w:r>
        <w:r w:rsidRPr="00FC6231">
          <w:rPr>
            <w:rFonts w:eastAsiaTheme="minorEastAsia"/>
            <w:noProof/>
            <w:sz w:val="22"/>
            <w:szCs w:val="22"/>
          </w:rPr>
          <w:tab/>
        </w:r>
        <w:r w:rsidRPr="00FC6231">
          <w:rPr>
            <w:rStyle w:val="Hyperlink"/>
            <w:noProof/>
          </w:rPr>
          <w:t>GENERAL</w:t>
        </w:r>
      </w:hyperlink>
    </w:p>
    <w:p w14:paraId="2DF188DD" w14:textId="77777777" w:rsidR="00FC6231" w:rsidRPr="00FC6231" w:rsidRDefault="00FC6231" w:rsidP="00FC6231">
      <w:pPr>
        <w:pStyle w:val="TOC3"/>
        <w:tabs>
          <w:tab w:val="left" w:pos="1844"/>
          <w:tab w:val="right" w:pos="9627"/>
        </w:tabs>
        <w:ind w:hanging="907"/>
        <w:rPr>
          <w:rFonts w:eastAsiaTheme="minorEastAsia"/>
          <w:noProof/>
          <w:sz w:val="22"/>
          <w:szCs w:val="22"/>
        </w:rPr>
      </w:pPr>
      <w:hyperlink w:anchor="_Toc487711849" w:history="1">
        <w:r w:rsidRPr="00FC6231">
          <w:rPr>
            <w:rStyle w:val="Hyperlink"/>
            <w:noProof/>
          </w:rPr>
          <w:t>2.</w:t>
        </w:r>
        <w:r w:rsidRPr="00FC6231">
          <w:rPr>
            <w:rFonts w:eastAsiaTheme="minorEastAsia"/>
            <w:noProof/>
            <w:sz w:val="22"/>
            <w:szCs w:val="22"/>
          </w:rPr>
          <w:tab/>
        </w:r>
        <w:r w:rsidRPr="00FC6231">
          <w:rPr>
            <w:rStyle w:val="Hyperlink"/>
            <w:noProof/>
          </w:rPr>
          <w:t>RISK MANAGEMENT PLAN</w:t>
        </w:r>
      </w:hyperlink>
    </w:p>
    <w:p w14:paraId="261C496C" w14:textId="77777777" w:rsidR="00FC6231" w:rsidRPr="00FC6231" w:rsidRDefault="00FC6231" w:rsidP="00FC6231">
      <w:pPr>
        <w:pStyle w:val="TOC3"/>
        <w:tabs>
          <w:tab w:val="left" w:pos="1844"/>
          <w:tab w:val="right" w:pos="9627"/>
        </w:tabs>
        <w:ind w:hanging="907"/>
        <w:rPr>
          <w:rFonts w:eastAsiaTheme="minorEastAsia"/>
          <w:noProof/>
          <w:sz w:val="22"/>
          <w:szCs w:val="22"/>
        </w:rPr>
      </w:pPr>
      <w:hyperlink w:anchor="_Toc487711850" w:history="1">
        <w:r w:rsidRPr="00FC6231">
          <w:rPr>
            <w:rStyle w:val="Hyperlink"/>
            <w:noProof/>
          </w:rPr>
          <w:t>3.</w:t>
        </w:r>
        <w:r w:rsidRPr="00FC6231">
          <w:rPr>
            <w:rFonts w:eastAsiaTheme="minorEastAsia"/>
            <w:noProof/>
            <w:sz w:val="22"/>
            <w:szCs w:val="22"/>
          </w:rPr>
          <w:tab/>
        </w:r>
        <w:r w:rsidRPr="00FC6231">
          <w:rPr>
            <w:rStyle w:val="Hyperlink"/>
            <w:noProof/>
          </w:rPr>
          <w:t>RISK REGISTER</w:t>
        </w:r>
      </w:hyperlink>
    </w:p>
    <w:p w14:paraId="2639847C" w14:textId="77777777" w:rsidR="00FC6231" w:rsidRPr="00FC6231" w:rsidRDefault="00FC6231" w:rsidP="00FC6231">
      <w:pPr>
        <w:pStyle w:val="TOC3"/>
        <w:tabs>
          <w:tab w:val="left" w:pos="1844"/>
          <w:tab w:val="right" w:pos="9627"/>
        </w:tabs>
        <w:ind w:hanging="907"/>
        <w:rPr>
          <w:rFonts w:eastAsiaTheme="minorEastAsia"/>
          <w:noProof/>
          <w:sz w:val="22"/>
          <w:szCs w:val="22"/>
        </w:rPr>
      </w:pPr>
      <w:hyperlink w:anchor="_Toc487711851" w:history="1">
        <w:r w:rsidRPr="00FC6231">
          <w:rPr>
            <w:rStyle w:val="Hyperlink"/>
            <w:noProof/>
          </w:rPr>
          <w:t>4.</w:t>
        </w:r>
        <w:r w:rsidRPr="00FC6231">
          <w:rPr>
            <w:rFonts w:eastAsiaTheme="minorEastAsia"/>
            <w:noProof/>
            <w:sz w:val="22"/>
            <w:szCs w:val="22"/>
          </w:rPr>
          <w:tab/>
        </w:r>
        <w:r w:rsidRPr="00FC6231">
          <w:rPr>
            <w:rStyle w:val="Hyperlink"/>
            <w:noProof/>
          </w:rPr>
          <w:t>HOLD POINTS</w:t>
        </w:r>
      </w:hyperlink>
    </w:p>
    <w:p w14:paraId="1AEE5AA9" w14:textId="77777777" w:rsidR="00500A4E" w:rsidRPr="00FE27BD" w:rsidRDefault="00FC6231" w:rsidP="00FC6231">
      <w:pPr>
        <w:ind w:hanging="907"/>
      </w:pPr>
      <w:r w:rsidRPr="00FC6231">
        <w:fldChar w:fldCharType="end"/>
      </w:r>
      <w:bookmarkStart w:id="0" w:name="_GoBack"/>
      <w:bookmarkEnd w:id="0"/>
    </w:p>
    <w:p w14:paraId="4518CBE7" w14:textId="77777777" w:rsidR="00500A4E" w:rsidRPr="00FC6231" w:rsidRDefault="00500A4E" w:rsidP="00FC6231">
      <w:pPr>
        <w:pStyle w:val="Heading3"/>
      </w:pPr>
      <w:bookmarkStart w:id="1" w:name="_Toc487711848"/>
      <w:r w:rsidRPr="00FE27BD">
        <w:t>GENERAL</w:t>
      </w:r>
      <w:bookmarkEnd w:id="1"/>
    </w:p>
    <w:p w14:paraId="09F86732" w14:textId="77777777" w:rsidR="00500A4E" w:rsidRPr="00FE27BD" w:rsidRDefault="00500A4E" w:rsidP="00FC6231">
      <w:pPr>
        <w:pStyle w:val="Paragraph"/>
      </w:pPr>
      <w:r w:rsidRPr="00FE27BD">
        <w:t>The Contractor must:</w:t>
      </w:r>
    </w:p>
    <w:p w14:paraId="199BA376" w14:textId="77777777" w:rsidR="00500A4E" w:rsidRPr="00FE27BD" w:rsidRDefault="00500A4E" w:rsidP="005C2063">
      <w:pPr>
        <w:pStyle w:val="Sub-sub-paragraph"/>
        <w:tabs>
          <w:tab w:val="num" w:pos="1560"/>
        </w:tabs>
        <w:spacing w:before="120"/>
        <w:ind w:left="1559" w:hanging="425"/>
        <w:jc w:val="left"/>
      </w:pPr>
      <w:r w:rsidRPr="00FE27BD">
        <w:t>implement a risk management process for its activities under this Contract which meets the requirements of Clause 5 “Process” of AS 31000: Risk</w:t>
      </w:r>
      <w:r>
        <w:t xml:space="preserve"> Management and any other requirements set our in the </w:t>
      </w:r>
      <w:r w:rsidRPr="00940AF6">
        <w:rPr>
          <w:b/>
        </w:rPr>
        <w:t>Contract Specific Requirements</w:t>
      </w:r>
      <w:r>
        <w:t>;</w:t>
      </w:r>
    </w:p>
    <w:p w14:paraId="02DAA57C" w14:textId="77777777" w:rsidR="00500A4E" w:rsidRPr="00FE27BD" w:rsidRDefault="00500A4E" w:rsidP="005C2063">
      <w:pPr>
        <w:pStyle w:val="Sub-sub-paragraph"/>
        <w:tabs>
          <w:tab w:val="num" w:pos="1560"/>
        </w:tabs>
        <w:spacing w:before="120"/>
        <w:ind w:left="1559" w:hanging="425"/>
        <w:jc w:val="left"/>
      </w:pPr>
      <w:r w:rsidRPr="00FE27BD">
        <w:t>document the process in a project specific Risk Management Plan; and</w:t>
      </w:r>
    </w:p>
    <w:p w14:paraId="190B41B1" w14:textId="77777777" w:rsidR="00500A4E" w:rsidRPr="00CE2727" w:rsidRDefault="00500A4E" w:rsidP="005C2063">
      <w:pPr>
        <w:pStyle w:val="Sub-sub-paragraph"/>
        <w:tabs>
          <w:tab w:val="num" w:pos="1560"/>
        </w:tabs>
        <w:spacing w:before="120"/>
        <w:ind w:left="1559" w:hanging="425"/>
        <w:jc w:val="left"/>
      </w:pPr>
      <w:r w:rsidRPr="00FE27BD">
        <w:rPr>
          <w:lang w:bidi="en-US"/>
        </w:rPr>
        <w:t xml:space="preserve">implement and maintain a Risk </w:t>
      </w:r>
      <w:r w:rsidRPr="00FE27BD">
        <w:t>Register</w:t>
      </w:r>
      <w:r w:rsidRPr="00FE27BD">
        <w:rPr>
          <w:lang w:bidi="en-US"/>
        </w:rPr>
        <w:t xml:space="preserve"> for the duration of the Contract</w:t>
      </w:r>
      <w:r>
        <w:rPr>
          <w:lang w:bidi="en-US"/>
        </w:rPr>
        <w:t>.</w:t>
      </w:r>
    </w:p>
    <w:p w14:paraId="4611D22C" w14:textId="77777777" w:rsidR="00500A4E" w:rsidRPr="00FC6231" w:rsidRDefault="00500A4E" w:rsidP="005C2063">
      <w:pPr>
        <w:pStyle w:val="Heading3"/>
        <w:jc w:val="left"/>
      </w:pPr>
      <w:bookmarkStart w:id="2" w:name="_Toc487711849"/>
      <w:r w:rsidRPr="00FE27BD">
        <w:t>RISK MANAGEMENT PLAN</w:t>
      </w:r>
      <w:bookmarkEnd w:id="2"/>
    </w:p>
    <w:p w14:paraId="2B4FDEC1" w14:textId="77777777" w:rsidR="00500A4E" w:rsidRPr="00FE27BD" w:rsidRDefault="00500A4E" w:rsidP="005C2063">
      <w:pPr>
        <w:pStyle w:val="Paragraph"/>
      </w:pPr>
      <w:r w:rsidRPr="00FE27BD">
        <w:t>At a minimum, the Risk Management Plan must describe:</w:t>
      </w:r>
    </w:p>
    <w:p w14:paraId="3221491D" w14:textId="77777777" w:rsidR="00500A4E" w:rsidRPr="00FE27BD" w:rsidRDefault="00500A4E" w:rsidP="005C2063">
      <w:pPr>
        <w:pStyle w:val="Sub-sub-paragraph"/>
        <w:tabs>
          <w:tab w:val="num" w:pos="1560"/>
        </w:tabs>
        <w:spacing w:before="120"/>
        <w:ind w:left="1559" w:hanging="425"/>
        <w:jc w:val="left"/>
      </w:pPr>
      <w:r w:rsidRPr="00FE27BD">
        <w:t>the risk management methodologies and processes that will be applied to the Contract;</w:t>
      </w:r>
    </w:p>
    <w:p w14:paraId="41FE9D73" w14:textId="77777777" w:rsidR="00500A4E" w:rsidRPr="00FE27BD" w:rsidRDefault="00500A4E" w:rsidP="005C2063">
      <w:pPr>
        <w:pStyle w:val="Sub-sub-paragraph"/>
        <w:tabs>
          <w:tab w:val="num" w:pos="1560"/>
        </w:tabs>
        <w:spacing w:before="120"/>
        <w:ind w:left="1559" w:hanging="425"/>
        <w:jc w:val="left"/>
      </w:pPr>
      <w:r w:rsidRPr="00FE27BD">
        <w:t>how the Risk Management Plan integrates with other management plans,;</w:t>
      </w:r>
    </w:p>
    <w:p w14:paraId="5FEB1C4B" w14:textId="77777777" w:rsidR="00500A4E" w:rsidRPr="00FE27BD" w:rsidRDefault="00500A4E" w:rsidP="005C2063">
      <w:pPr>
        <w:pStyle w:val="Sub-sub-paragraph"/>
        <w:tabs>
          <w:tab w:val="num" w:pos="1560"/>
        </w:tabs>
        <w:spacing w:before="120"/>
        <w:ind w:left="1559" w:hanging="425"/>
        <w:jc w:val="left"/>
      </w:pPr>
      <w:r w:rsidRPr="00FE27BD">
        <w:t>the method of review, audit and update of the Risk Management Plan and Risk Register to ensure that they are up to date and reflect the current status of the risk management process; and</w:t>
      </w:r>
    </w:p>
    <w:p w14:paraId="59A94914" w14:textId="77777777" w:rsidR="00500A4E" w:rsidRPr="00FE27BD" w:rsidRDefault="00500A4E" w:rsidP="005C2063">
      <w:pPr>
        <w:pStyle w:val="Sub-sub-paragraph"/>
        <w:tabs>
          <w:tab w:val="num" w:pos="1560"/>
        </w:tabs>
        <w:spacing w:before="120"/>
        <w:ind w:left="1559" w:hanging="425"/>
        <w:jc w:val="left"/>
      </w:pPr>
      <w:r w:rsidRPr="00FE27BD">
        <w:t>a methodology for managing records generated from the risk management process, including the status of risk treatments.</w:t>
      </w:r>
    </w:p>
    <w:p w14:paraId="23AC8E67" w14:textId="77777777" w:rsidR="00500A4E" w:rsidRPr="00FE27BD" w:rsidRDefault="00500A4E" w:rsidP="005C2063">
      <w:pPr>
        <w:pStyle w:val="Paragraph"/>
      </w:pPr>
      <w:r w:rsidRPr="00FE27BD">
        <w:t xml:space="preserve">Provision of the Risk Management Plan shall constitute a </w:t>
      </w:r>
      <w:r w:rsidRPr="00FE27BD">
        <w:rPr>
          <w:b/>
        </w:rPr>
        <w:t xml:space="preserve">HOLD POINT. </w:t>
      </w:r>
      <w:r w:rsidRPr="00FE27BD">
        <w:t>The Risk Management Plan is a Controlled Document. The Contractor may incorporate the Risk Management Plan into other management plans such</w:t>
      </w:r>
      <w:r>
        <w:t xml:space="preserve"> as the Safety Management Plan </w:t>
      </w:r>
      <w:r w:rsidRPr="00FE27BD">
        <w:t>and Design Management Plan.</w:t>
      </w:r>
    </w:p>
    <w:p w14:paraId="7D853B2D" w14:textId="77777777" w:rsidR="00500A4E" w:rsidRPr="00FC6231" w:rsidRDefault="00500A4E" w:rsidP="005C2063">
      <w:pPr>
        <w:pStyle w:val="Heading3"/>
        <w:jc w:val="left"/>
      </w:pPr>
      <w:bookmarkStart w:id="3" w:name="_Toc487711850"/>
      <w:r w:rsidRPr="00FE27BD">
        <w:t>RISK REGISTER</w:t>
      </w:r>
      <w:bookmarkEnd w:id="3"/>
    </w:p>
    <w:p w14:paraId="4CC681E6" w14:textId="77777777" w:rsidR="00500A4E" w:rsidRPr="00FE27BD" w:rsidRDefault="00500A4E" w:rsidP="005C2063">
      <w:pPr>
        <w:pStyle w:val="Paragraph"/>
      </w:pPr>
      <w:r w:rsidRPr="00FE27BD">
        <w:t>At a minimum, the Risk Register must:</w:t>
      </w:r>
    </w:p>
    <w:p w14:paraId="767241DF" w14:textId="77777777" w:rsidR="00500A4E" w:rsidRPr="00FE27BD" w:rsidRDefault="00500A4E" w:rsidP="005C2063">
      <w:pPr>
        <w:pStyle w:val="Sub-sub-paragraph"/>
        <w:tabs>
          <w:tab w:val="num" w:pos="1560"/>
        </w:tabs>
        <w:spacing w:before="120"/>
        <w:ind w:left="1559" w:hanging="425"/>
        <w:jc w:val="left"/>
      </w:pPr>
      <w:r w:rsidRPr="00FE27BD">
        <w:t xml:space="preserve"> record the risk identification, analysis, evaluation, treatment and management responsibility in regard to:</w:t>
      </w:r>
    </w:p>
    <w:p w14:paraId="185608BE" w14:textId="77777777" w:rsidR="00500A4E" w:rsidRPr="00FE27BD" w:rsidRDefault="00500A4E" w:rsidP="005C2063">
      <w:pPr>
        <w:numPr>
          <w:ilvl w:val="0"/>
          <w:numId w:val="10"/>
        </w:numPr>
        <w:tabs>
          <w:tab w:val="clear" w:pos="1440"/>
          <w:tab w:val="num" w:pos="1985"/>
        </w:tabs>
        <w:spacing w:before="120" w:after="0"/>
        <w:ind w:left="1985"/>
        <w:jc w:val="left"/>
      </w:pPr>
      <w:r w:rsidRPr="00FE27BD">
        <w:t>quality;</w:t>
      </w:r>
    </w:p>
    <w:p w14:paraId="379A16E6" w14:textId="77777777" w:rsidR="00500A4E" w:rsidRPr="00FE27BD" w:rsidRDefault="00500A4E" w:rsidP="005C2063">
      <w:pPr>
        <w:numPr>
          <w:ilvl w:val="0"/>
          <w:numId w:val="10"/>
        </w:numPr>
        <w:tabs>
          <w:tab w:val="clear" w:pos="1440"/>
          <w:tab w:val="num" w:pos="1985"/>
        </w:tabs>
        <w:spacing w:before="120" w:after="0"/>
        <w:ind w:left="1985"/>
        <w:jc w:val="left"/>
      </w:pPr>
      <w:r w:rsidRPr="00FE27BD">
        <w:t>environment;</w:t>
      </w:r>
    </w:p>
    <w:p w14:paraId="2D6D4009" w14:textId="77777777" w:rsidR="00500A4E" w:rsidRPr="00FE27BD" w:rsidRDefault="00500A4E" w:rsidP="009C1C83">
      <w:pPr>
        <w:numPr>
          <w:ilvl w:val="0"/>
          <w:numId w:val="10"/>
        </w:numPr>
        <w:tabs>
          <w:tab w:val="clear" w:pos="1440"/>
          <w:tab w:val="num" w:pos="1985"/>
        </w:tabs>
        <w:spacing w:before="120" w:after="0"/>
        <w:ind w:left="1985"/>
        <w:jc w:val="left"/>
      </w:pPr>
      <w:r w:rsidRPr="00FE27BD">
        <w:t>safety;</w:t>
      </w:r>
    </w:p>
    <w:p w14:paraId="533E61E0" w14:textId="77777777" w:rsidR="00500A4E" w:rsidRPr="00FE27BD" w:rsidRDefault="00500A4E" w:rsidP="009C1C83">
      <w:pPr>
        <w:numPr>
          <w:ilvl w:val="0"/>
          <w:numId w:val="10"/>
        </w:numPr>
        <w:tabs>
          <w:tab w:val="clear" w:pos="1440"/>
          <w:tab w:val="num" w:pos="1985"/>
        </w:tabs>
        <w:spacing w:before="120" w:after="0"/>
        <w:ind w:left="1985"/>
        <w:jc w:val="left"/>
      </w:pPr>
      <w:r w:rsidRPr="00FE27BD">
        <w:t>interface management (where applicable);</w:t>
      </w:r>
    </w:p>
    <w:p w14:paraId="1B3DA897" w14:textId="77777777" w:rsidR="00500A4E" w:rsidRPr="00FE27BD" w:rsidRDefault="00500A4E" w:rsidP="009C1C83">
      <w:pPr>
        <w:numPr>
          <w:ilvl w:val="0"/>
          <w:numId w:val="10"/>
        </w:numPr>
        <w:tabs>
          <w:tab w:val="clear" w:pos="1440"/>
          <w:tab w:val="num" w:pos="1985"/>
        </w:tabs>
        <w:spacing w:before="120" w:after="0"/>
        <w:ind w:left="1985"/>
        <w:jc w:val="left"/>
      </w:pPr>
      <w:r w:rsidRPr="00FE27BD">
        <w:t>design;</w:t>
      </w:r>
    </w:p>
    <w:p w14:paraId="27797702" w14:textId="77777777" w:rsidR="00500A4E" w:rsidRPr="00FE27BD" w:rsidRDefault="00500A4E" w:rsidP="009C1C83">
      <w:pPr>
        <w:numPr>
          <w:ilvl w:val="0"/>
          <w:numId w:val="10"/>
        </w:numPr>
        <w:tabs>
          <w:tab w:val="clear" w:pos="1440"/>
          <w:tab w:val="num" w:pos="1985"/>
        </w:tabs>
        <w:spacing w:before="120" w:after="0"/>
        <w:ind w:left="1985"/>
        <w:jc w:val="left"/>
      </w:pPr>
      <w:r w:rsidRPr="00FE27BD">
        <w:t>construction;</w:t>
      </w:r>
    </w:p>
    <w:p w14:paraId="79D74C82" w14:textId="77777777" w:rsidR="00500A4E" w:rsidRPr="00FE27BD" w:rsidRDefault="00500A4E" w:rsidP="009C1C83">
      <w:pPr>
        <w:numPr>
          <w:ilvl w:val="0"/>
          <w:numId w:val="10"/>
        </w:numPr>
        <w:tabs>
          <w:tab w:val="clear" w:pos="1440"/>
          <w:tab w:val="num" w:pos="1985"/>
        </w:tabs>
        <w:spacing w:before="120" w:after="0"/>
        <w:ind w:left="1985"/>
        <w:jc w:val="left"/>
      </w:pPr>
      <w:r w:rsidRPr="00FE27BD">
        <w:t>commissioning (where applicable);</w:t>
      </w:r>
    </w:p>
    <w:p w14:paraId="539F0DB0" w14:textId="77777777" w:rsidR="00500A4E" w:rsidRPr="00FE27BD" w:rsidRDefault="00500A4E" w:rsidP="009C1C83">
      <w:pPr>
        <w:numPr>
          <w:ilvl w:val="0"/>
          <w:numId w:val="10"/>
        </w:numPr>
        <w:tabs>
          <w:tab w:val="clear" w:pos="1440"/>
          <w:tab w:val="num" w:pos="1985"/>
        </w:tabs>
        <w:spacing w:before="120" w:after="0"/>
        <w:ind w:left="1985"/>
        <w:jc w:val="left"/>
      </w:pPr>
      <w:r w:rsidRPr="00FE27BD">
        <w:t>asset management / operation and reliability;</w:t>
      </w:r>
    </w:p>
    <w:p w14:paraId="17DCF986" w14:textId="77777777" w:rsidR="00500A4E" w:rsidRPr="00FE27BD" w:rsidRDefault="00500A4E" w:rsidP="009C1C83">
      <w:pPr>
        <w:numPr>
          <w:ilvl w:val="0"/>
          <w:numId w:val="10"/>
        </w:numPr>
        <w:tabs>
          <w:tab w:val="clear" w:pos="1440"/>
          <w:tab w:val="num" w:pos="1985"/>
        </w:tabs>
        <w:spacing w:before="120" w:after="0"/>
        <w:ind w:left="1985"/>
        <w:jc w:val="left"/>
      </w:pPr>
      <w:r w:rsidRPr="00FE27BD">
        <w:t xml:space="preserve">compliance with the </w:t>
      </w:r>
      <w:r w:rsidRPr="00FE27BD">
        <w:rPr>
          <w:i/>
        </w:rPr>
        <w:t>Contract Program</w:t>
      </w:r>
      <w:r w:rsidRPr="00FE27BD">
        <w:t>;</w:t>
      </w:r>
    </w:p>
    <w:p w14:paraId="135D4254" w14:textId="77777777" w:rsidR="00500A4E" w:rsidRPr="00FE27BD" w:rsidRDefault="00500A4E" w:rsidP="00FC6231">
      <w:pPr>
        <w:pStyle w:val="Sub-sub-paragraph"/>
        <w:tabs>
          <w:tab w:val="num" w:pos="1560"/>
        </w:tabs>
        <w:spacing w:before="120"/>
        <w:ind w:left="1559" w:hanging="425"/>
      </w:pPr>
      <w:r w:rsidRPr="00FE27BD">
        <w:t xml:space="preserve"> address risk at each of the following levels:</w:t>
      </w:r>
    </w:p>
    <w:p w14:paraId="7BC65047" w14:textId="77777777" w:rsidR="00500A4E" w:rsidRPr="00FE27BD" w:rsidRDefault="00500A4E" w:rsidP="009C1C83">
      <w:pPr>
        <w:numPr>
          <w:ilvl w:val="0"/>
          <w:numId w:val="11"/>
        </w:numPr>
        <w:tabs>
          <w:tab w:val="clear" w:pos="1440"/>
          <w:tab w:val="num" w:pos="1985"/>
        </w:tabs>
        <w:spacing w:before="120" w:after="0"/>
        <w:ind w:left="1985"/>
        <w:jc w:val="left"/>
      </w:pPr>
      <w:r w:rsidRPr="00FE27BD">
        <w:t>Level 1 – Contract</w:t>
      </w:r>
    </w:p>
    <w:p w14:paraId="0202A3BD" w14:textId="77777777" w:rsidR="00500A4E" w:rsidRPr="00FE27BD" w:rsidRDefault="00500A4E" w:rsidP="009C1C83">
      <w:pPr>
        <w:numPr>
          <w:ilvl w:val="0"/>
          <w:numId w:val="11"/>
        </w:numPr>
        <w:tabs>
          <w:tab w:val="clear" w:pos="1440"/>
          <w:tab w:val="num" w:pos="1985"/>
        </w:tabs>
        <w:spacing w:before="120" w:after="0"/>
        <w:ind w:left="1985"/>
        <w:jc w:val="left"/>
      </w:pPr>
      <w:r w:rsidRPr="00FE27BD">
        <w:t>Level 2 – Site activity;</w:t>
      </w:r>
    </w:p>
    <w:p w14:paraId="3A504B86" w14:textId="77777777" w:rsidR="00500A4E" w:rsidRPr="00FE27BD" w:rsidRDefault="00500A4E" w:rsidP="00FC6231">
      <w:pPr>
        <w:pStyle w:val="Sub-sub-paragraph"/>
        <w:tabs>
          <w:tab w:val="num" w:pos="1560"/>
        </w:tabs>
        <w:spacing w:before="120"/>
        <w:ind w:left="1559" w:hanging="425"/>
      </w:pPr>
      <w:r w:rsidRPr="00FE27BD">
        <w:t>be kept up to date; and</w:t>
      </w:r>
    </w:p>
    <w:p w14:paraId="356E208F" w14:textId="77777777" w:rsidR="00500A4E" w:rsidRPr="00FE27BD" w:rsidRDefault="00500A4E" w:rsidP="00FC6231">
      <w:pPr>
        <w:pStyle w:val="Sub-sub-paragraph"/>
        <w:tabs>
          <w:tab w:val="num" w:pos="1560"/>
        </w:tabs>
        <w:spacing w:before="120"/>
        <w:ind w:left="1559" w:hanging="425"/>
      </w:pPr>
      <w:r w:rsidRPr="00FE27BD">
        <w:lastRenderedPageBreak/>
        <w:t>record any residual risks that remain when the testing and commissioning of each work package is complete.</w:t>
      </w:r>
    </w:p>
    <w:p w14:paraId="2E096483" w14:textId="77777777" w:rsidR="00500A4E" w:rsidRPr="00FE27BD" w:rsidRDefault="00500A4E" w:rsidP="00FC6231">
      <w:pPr>
        <w:pStyle w:val="Paragraph"/>
      </w:pPr>
      <w:r w:rsidRPr="00FE27BD">
        <w:t>The use of generic activity risk assessments is not acceptable.  Assessments must be site and Contract specific, and must identify any current site conditions or interactions posing risk.</w:t>
      </w:r>
    </w:p>
    <w:p w14:paraId="788A9EB1" w14:textId="596BF4C0" w:rsidR="00500A4E" w:rsidRPr="00FC6231" w:rsidRDefault="00500A4E" w:rsidP="00FC6231">
      <w:pPr>
        <w:pStyle w:val="Heading3"/>
      </w:pPr>
      <w:bookmarkStart w:id="4" w:name="_Toc487711851"/>
      <w:r w:rsidRPr="00FC6231">
        <w:t>HOLD POINTS</w:t>
      </w:r>
      <w:bookmarkEnd w:id="4"/>
    </w:p>
    <w:p w14:paraId="3046EBCB" w14:textId="77777777" w:rsidR="00500A4E" w:rsidRPr="00FE27BD" w:rsidRDefault="00500A4E" w:rsidP="00FC6231">
      <w:pPr>
        <w:pStyle w:val="Paragraph"/>
      </w:pPr>
      <w:r w:rsidRPr="00FE27BD">
        <w:t>The following is a summary of Hold Points referenced in this Part:</w:t>
      </w:r>
    </w:p>
    <w:p w14:paraId="2BD0881D" w14:textId="77777777" w:rsidR="00500A4E" w:rsidRPr="00FE27BD" w:rsidRDefault="00500A4E" w:rsidP="00500A4E"/>
    <w:tbl>
      <w:tblPr>
        <w:tblW w:w="87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7"/>
        <w:gridCol w:w="5370"/>
        <w:gridCol w:w="1985"/>
      </w:tblGrid>
      <w:tr w:rsidR="00500A4E" w:rsidRPr="00FE27BD" w14:paraId="6EE636CF" w14:textId="77777777" w:rsidTr="008C2566">
        <w:tc>
          <w:tcPr>
            <w:tcW w:w="1417" w:type="dxa"/>
            <w:vAlign w:val="center"/>
          </w:tcPr>
          <w:p w14:paraId="7A02914E" w14:textId="77777777" w:rsidR="00500A4E" w:rsidRPr="00FE27BD" w:rsidRDefault="00500A4E" w:rsidP="004F114C">
            <w:pPr>
              <w:spacing w:before="60"/>
              <w:jc w:val="center"/>
              <w:rPr>
                <w:b/>
              </w:rPr>
            </w:pPr>
            <w:r w:rsidRPr="00FE27BD">
              <w:rPr>
                <w:b/>
              </w:rPr>
              <w:t>CLAUSE REF.</w:t>
            </w:r>
          </w:p>
        </w:tc>
        <w:tc>
          <w:tcPr>
            <w:tcW w:w="5370" w:type="dxa"/>
            <w:vAlign w:val="center"/>
          </w:tcPr>
          <w:p w14:paraId="4F8D5632" w14:textId="77777777" w:rsidR="00500A4E" w:rsidRPr="00FE27BD" w:rsidRDefault="00500A4E" w:rsidP="004F114C">
            <w:pPr>
              <w:spacing w:before="60"/>
              <w:jc w:val="center"/>
              <w:rPr>
                <w:b/>
              </w:rPr>
            </w:pPr>
            <w:r w:rsidRPr="00FE27BD">
              <w:rPr>
                <w:b/>
              </w:rPr>
              <w:t>HOLD POINT</w:t>
            </w:r>
          </w:p>
        </w:tc>
        <w:tc>
          <w:tcPr>
            <w:tcW w:w="1985" w:type="dxa"/>
            <w:vAlign w:val="center"/>
          </w:tcPr>
          <w:p w14:paraId="7C30958D" w14:textId="77777777" w:rsidR="00500A4E" w:rsidRPr="00FE27BD" w:rsidRDefault="00500A4E" w:rsidP="004F114C">
            <w:pPr>
              <w:spacing w:before="60"/>
              <w:jc w:val="center"/>
              <w:rPr>
                <w:b/>
              </w:rPr>
            </w:pPr>
            <w:r w:rsidRPr="00FE27BD">
              <w:rPr>
                <w:b/>
              </w:rPr>
              <w:t>RESPONSE TIME</w:t>
            </w:r>
          </w:p>
        </w:tc>
      </w:tr>
      <w:tr w:rsidR="00500A4E" w:rsidRPr="00FE27BD" w14:paraId="760E6861" w14:textId="77777777" w:rsidTr="008C2566">
        <w:tc>
          <w:tcPr>
            <w:tcW w:w="1417" w:type="dxa"/>
          </w:tcPr>
          <w:p w14:paraId="10D19551" w14:textId="62F536B0" w:rsidR="00500A4E" w:rsidRPr="00FE27BD" w:rsidRDefault="00500A4E" w:rsidP="004F114C">
            <w:pPr>
              <w:spacing w:before="120" w:after="120"/>
              <w:jc w:val="center"/>
            </w:pPr>
            <w:r w:rsidRPr="00FE27BD">
              <w:t>2.</w:t>
            </w:r>
            <w:r w:rsidR="008C2566">
              <w:t>2</w:t>
            </w:r>
          </w:p>
        </w:tc>
        <w:tc>
          <w:tcPr>
            <w:tcW w:w="5370" w:type="dxa"/>
          </w:tcPr>
          <w:p w14:paraId="535A107A" w14:textId="77777777" w:rsidR="00500A4E" w:rsidRPr="00FE27BD" w:rsidRDefault="00500A4E" w:rsidP="004F114C">
            <w:pPr>
              <w:spacing w:before="120" w:after="120"/>
            </w:pPr>
            <w:r w:rsidRPr="00FE27BD">
              <w:t>Provision of Risk Management Plan</w:t>
            </w:r>
          </w:p>
        </w:tc>
        <w:tc>
          <w:tcPr>
            <w:tcW w:w="1985" w:type="dxa"/>
          </w:tcPr>
          <w:p w14:paraId="4137002C" w14:textId="77777777" w:rsidR="00500A4E" w:rsidRPr="00FE27BD" w:rsidRDefault="00500A4E" w:rsidP="004F114C">
            <w:pPr>
              <w:spacing w:before="120" w:after="120"/>
            </w:pPr>
            <w:r w:rsidRPr="00FE27BD">
              <w:t>10 working days</w:t>
            </w:r>
          </w:p>
        </w:tc>
      </w:tr>
    </w:tbl>
    <w:p w14:paraId="21C74D9F" w14:textId="77777777" w:rsidR="00500A4E" w:rsidRPr="00FE27BD" w:rsidRDefault="00500A4E" w:rsidP="00500A4E"/>
    <w:p w14:paraId="75F99451" w14:textId="77777777" w:rsidR="00500A4E" w:rsidRPr="00FE27BD" w:rsidRDefault="00500A4E" w:rsidP="00500A4E"/>
    <w:p w14:paraId="02BBD32D" w14:textId="77777777" w:rsidR="00500A4E" w:rsidRPr="00FE27BD" w:rsidRDefault="00500A4E" w:rsidP="00500A4E">
      <w:pPr>
        <w:jc w:val="center"/>
      </w:pPr>
      <w:r w:rsidRPr="00FE27BD">
        <w:t>____________</w:t>
      </w:r>
    </w:p>
    <w:p w14:paraId="7AA1209D" w14:textId="77777777" w:rsidR="00500A4E" w:rsidRPr="00FE27BD" w:rsidRDefault="00500A4E" w:rsidP="00500A4E"/>
    <w:p w14:paraId="126D1AE1" w14:textId="77777777" w:rsidR="00500A4E" w:rsidRPr="00FE27BD" w:rsidRDefault="00500A4E" w:rsidP="00500A4E"/>
    <w:p w14:paraId="7EACED3F" w14:textId="77777777" w:rsidR="00500A4E" w:rsidRPr="00FE27BD" w:rsidRDefault="00500A4E" w:rsidP="00500A4E"/>
    <w:p w14:paraId="251201C1" w14:textId="77777777" w:rsidR="00B34C71" w:rsidRPr="00B34C71" w:rsidRDefault="00B34C71" w:rsidP="00B34C71"/>
    <w:sectPr w:rsidR="00B34C71" w:rsidRPr="00B34C71"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241EFC04" w:rsidR="008E7010" w:rsidRPr="00C66580" w:rsidRDefault="008E7010" w:rsidP="00C66580">
    <w:pPr>
      <w:tabs>
        <w:tab w:val="right" w:pos="9356"/>
      </w:tabs>
      <w:spacing w:after="0"/>
      <w:jc w:val="left"/>
    </w:pPr>
    <w:r w:rsidRPr="00C66580">
      <w:t xml:space="preserve">Edition: </w:t>
    </w:r>
    <w:r w:rsidR="005B0A3C">
      <w:t>April 2017</w:t>
    </w:r>
    <w:r w:rsidRPr="00C66580">
      <w:tab/>
    </w:r>
    <w:r w:rsidR="005B0A3C">
      <w:t>Part G25 Risk Management</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45FD3D46"/>
    <w:multiLevelType w:val="hybridMultilevel"/>
    <w:tmpl w:val="78ACEE1E"/>
    <w:lvl w:ilvl="0" w:tplc="56906766">
      <w:start w:val="1"/>
      <w:numFmt w:val="lowerRoman"/>
      <w:lvlText w:val="%1)"/>
      <w:lvlJc w:val="left"/>
      <w:pPr>
        <w:tabs>
          <w:tab w:val="num" w:pos="1440"/>
        </w:tabs>
        <w:ind w:left="1440" w:hanging="360"/>
      </w:pPr>
      <w:rPr>
        <w:rFonts w:hint="default"/>
      </w:rPr>
    </w:lvl>
    <w:lvl w:ilvl="1" w:tplc="555635CC"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6" w15:restartNumberingAfterBreak="0">
    <w:nsid w:val="66F34EE7"/>
    <w:multiLevelType w:val="hybridMultilevel"/>
    <w:tmpl w:val="78ACEE1E"/>
    <w:lvl w:ilvl="0" w:tplc="DD2C5E2E">
      <w:start w:val="1"/>
      <w:numFmt w:val="lowerRoman"/>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8"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0"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7"/>
  </w:num>
  <w:num w:numId="6">
    <w:abstractNumId w:val="0"/>
  </w:num>
  <w:num w:numId="7">
    <w:abstractNumId w:val="5"/>
  </w:num>
  <w:num w:numId="8">
    <w:abstractNumId w:val="3"/>
  </w:num>
  <w:num w:numId="9">
    <w:abstractNumId w:val="1"/>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AFB7-0E1D-40CB-B31A-1D8D787F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7</TotalTime>
  <Pages>2</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PART G25  RISK MANAGEMENT</vt:lpstr>
      <vt:lpstr>        GENERAL</vt:lpstr>
      <vt:lpstr>        RISK MANAGEMENT PLAN</vt:lpstr>
      <vt:lpstr>        RISK REGISTER</vt:lpstr>
      <vt:lpstr>        HOLD POINTS</vt:lpstr>
    </vt:vector>
  </TitlesOfParts>
  <Company>Dept of Commerce</Company>
  <LinksUpToDate>false</LinksUpToDate>
  <CharactersWithSpaces>2537</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7</cp:revision>
  <cp:lastPrinted>2017-07-13T02:53:00Z</cp:lastPrinted>
  <dcterms:created xsi:type="dcterms:W3CDTF">2017-07-13T02:48:00Z</dcterms:created>
  <dcterms:modified xsi:type="dcterms:W3CDTF">2017-07-13T02:54:00Z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