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75" w:rsidRPr="00E61399" w:rsidRDefault="00055975" w:rsidP="00055975">
      <w:pPr>
        <w:tabs>
          <w:tab w:val="center" w:pos="4678"/>
        </w:tabs>
        <w:suppressAutoHyphens/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PART </w:t>
      </w:r>
      <w:r w:rsidR="009F650E" w:rsidRPr="00E61399">
        <w:rPr>
          <w:rFonts w:ascii="Arial" w:hAnsi="Arial" w:cs="Arial"/>
          <w:b/>
          <w:spacing w:val="-2"/>
          <w:sz w:val="18"/>
          <w:szCs w:val="18"/>
          <w:u w:val="single"/>
        </w:rPr>
        <w:t>W50</w:t>
      </w:r>
    </w:p>
    <w:p w:rsidR="00055975" w:rsidRPr="00E61399" w:rsidRDefault="00055975" w:rsidP="00CD3AC8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055975">
      <w:pPr>
        <w:tabs>
          <w:tab w:val="center" w:pos="4678"/>
        </w:tabs>
        <w:suppressAutoHyphens/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SUNDRIES</w:t>
      </w: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8"/>
          <w:szCs w:val="18"/>
          <w:u w:val="single"/>
        </w:rPr>
      </w:pP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CONTENTS</w:t>
      </w: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055975">
      <w:pPr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1.</w:t>
      </w:r>
      <w:r w:rsidRPr="00E61399">
        <w:rPr>
          <w:rFonts w:ascii="Arial" w:hAnsi="Arial" w:cs="Arial"/>
          <w:sz w:val="18"/>
          <w:szCs w:val="18"/>
        </w:rPr>
        <w:tab/>
        <w:t>General</w:t>
      </w:r>
    </w:p>
    <w:p w:rsidR="00055975" w:rsidRPr="00E61399" w:rsidRDefault="00055975" w:rsidP="00055975">
      <w:pPr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2.</w:t>
      </w:r>
      <w:r w:rsidRPr="00E61399">
        <w:rPr>
          <w:rFonts w:ascii="Arial" w:hAnsi="Arial" w:cs="Arial"/>
          <w:sz w:val="18"/>
          <w:szCs w:val="18"/>
        </w:rPr>
        <w:tab/>
        <w:t>Handrails</w:t>
      </w:r>
    </w:p>
    <w:p w:rsidR="00055975" w:rsidRPr="00E61399" w:rsidRDefault="00055975" w:rsidP="00055975">
      <w:pPr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>3.</w:t>
      </w:r>
      <w:r w:rsidRPr="00E61399">
        <w:rPr>
          <w:rFonts w:ascii="Arial" w:hAnsi="Arial" w:cs="Arial"/>
          <w:spacing w:val="-2"/>
          <w:sz w:val="18"/>
          <w:szCs w:val="18"/>
        </w:rPr>
        <w:tab/>
        <w:t>Stairs/Platforms/Ladders and Ramps</w:t>
      </w: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>4.</w:t>
      </w:r>
      <w:r w:rsidRPr="00E61399">
        <w:rPr>
          <w:rFonts w:ascii="Arial" w:hAnsi="Arial" w:cs="Arial"/>
          <w:spacing w:val="-2"/>
          <w:sz w:val="18"/>
          <w:szCs w:val="18"/>
        </w:rPr>
        <w:tab/>
        <w:t>Electrical</w:t>
      </w: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bCs/>
          <w:spacing w:val="-2"/>
          <w:sz w:val="18"/>
          <w:szCs w:val="18"/>
        </w:rPr>
      </w:pPr>
    </w:p>
    <w:p w:rsidR="00055975" w:rsidRPr="00E61399" w:rsidRDefault="00055975" w:rsidP="00055975">
      <w:pPr>
        <w:tabs>
          <w:tab w:val="left" w:pos="-720"/>
        </w:tabs>
        <w:suppressAutoHyphens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</w:rPr>
        <w:t>1.</w:t>
      </w:r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GENERAL</w:t>
      </w:r>
    </w:p>
    <w:p w:rsidR="00055975" w:rsidRPr="00E61399" w:rsidRDefault="00055975" w:rsidP="00055975">
      <w:pPr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A01849" w:rsidP="00EF41C9">
      <w:pPr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 xml:space="preserve">This Part </w:t>
      </w:r>
      <w:r w:rsidR="00055975" w:rsidRPr="00E61399">
        <w:rPr>
          <w:rFonts w:ascii="Arial" w:hAnsi="Arial" w:cs="Arial"/>
          <w:spacing w:val="-2"/>
          <w:sz w:val="18"/>
          <w:szCs w:val="18"/>
        </w:rPr>
        <w:t xml:space="preserve">refers to work affecting any furniture, fixture or attachment to the jetty such as: </w:t>
      </w:r>
      <w:r w:rsidR="00055975" w:rsidRPr="00E61399">
        <w:rPr>
          <w:rFonts w:ascii="Arial" w:hAnsi="Arial" w:cs="Arial"/>
          <w:sz w:val="18"/>
          <w:szCs w:val="18"/>
        </w:rPr>
        <w:t>jetty lights, power outlets, electric cables, water services, signs, navigation beacons, handrail, lifebuoy boxes, cranes, railway lines, fuel lines and dispensers, ladders, steps, ramps</w:t>
      </w:r>
      <w:r w:rsidR="00055975" w:rsidRPr="00E61399">
        <w:rPr>
          <w:rFonts w:ascii="Arial" w:hAnsi="Arial" w:cs="Arial"/>
          <w:spacing w:val="-2"/>
          <w:sz w:val="18"/>
          <w:szCs w:val="18"/>
        </w:rPr>
        <w:t xml:space="preserve"> and bollards.  It may involve </w:t>
      </w:r>
      <w:r w:rsidR="006A0F70" w:rsidRPr="00E61399">
        <w:rPr>
          <w:rFonts w:ascii="Arial" w:hAnsi="Arial" w:cs="Arial"/>
          <w:spacing w:val="-2"/>
          <w:sz w:val="18"/>
          <w:szCs w:val="18"/>
        </w:rPr>
        <w:t>repair</w:t>
      </w:r>
      <w:r w:rsidR="00055975" w:rsidRPr="00E61399">
        <w:rPr>
          <w:rFonts w:ascii="Arial" w:hAnsi="Arial" w:cs="Arial"/>
          <w:spacing w:val="-2"/>
          <w:sz w:val="18"/>
          <w:szCs w:val="18"/>
        </w:rPr>
        <w:t>, replacement or installation of new fixtures or attachments.</w:t>
      </w:r>
    </w:p>
    <w:p w:rsidR="00055975" w:rsidRPr="00E61399" w:rsidRDefault="00055975" w:rsidP="00EF41C9">
      <w:pPr>
        <w:jc w:val="left"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If non-standard work is required, it will be described in </w:t>
      </w:r>
      <w:r w:rsidR="00065D9E" w:rsidRPr="00E61399">
        <w:rPr>
          <w:rFonts w:ascii="Arial" w:hAnsi="Arial" w:cs="Arial"/>
          <w:b/>
          <w:sz w:val="18"/>
          <w:szCs w:val="18"/>
        </w:rPr>
        <w:t>Contract Specific Requirements</w:t>
      </w:r>
      <w:r w:rsidR="00065D9E" w:rsidRPr="00E61399">
        <w:rPr>
          <w:rFonts w:ascii="Arial" w:hAnsi="Arial" w:cs="Arial"/>
          <w:sz w:val="18"/>
          <w:szCs w:val="18"/>
        </w:rPr>
        <w:t>.</w:t>
      </w:r>
    </w:p>
    <w:p w:rsidR="00055975" w:rsidRPr="00E61399" w:rsidRDefault="00055975" w:rsidP="00EF41C9">
      <w:pPr>
        <w:jc w:val="left"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Documents referenced in this Part are listed below: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1543"/>
        <w:gridCol w:w="7561"/>
      </w:tblGrid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1214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Hot-dip Galvanised Coatings on Threaded Fasteners.</w:t>
            </w:r>
          </w:p>
        </w:tc>
      </w:tr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1657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Fixed Platforms, Walkways, Stairways and Ladders - Design, Construction and Installation.</w:t>
            </w:r>
          </w:p>
        </w:tc>
      </w:tr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1664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1399">
              <w:rPr>
                <w:rFonts w:ascii="Arial" w:hAnsi="Arial" w:cs="Arial"/>
                <w:sz w:val="18"/>
                <w:szCs w:val="18"/>
              </w:rPr>
              <w:t>SAA</w:t>
            </w:r>
            <w:proofErr w:type="spellEnd"/>
            <w:r w:rsidRPr="00E61399">
              <w:rPr>
                <w:rFonts w:ascii="Arial" w:hAnsi="Arial" w:cs="Arial"/>
                <w:sz w:val="18"/>
                <w:szCs w:val="18"/>
              </w:rPr>
              <w:t xml:space="preserve"> Aluminium Structures Code – Limit State Design</w:t>
            </w:r>
            <w:r w:rsidR="00D50FFE" w:rsidRPr="00E613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1720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1399">
              <w:rPr>
                <w:rFonts w:ascii="Arial" w:hAnsi="Arial" w:cs="Arial"/>
                <w:sz w:val="18"/>
                <w:szCs w:val="18"/>
              </w:rPr>
              <w:t>SAA</w:t>
            </w:r>
            <w:proofErr w:type="spellEnd"/>
            <w:r w:rsidRPr="00E61399">
              <w:rPr>
                <w:rFonts w:ascii="Arial" w:hAnsi="Arial" w:cs="Arial"/>
                <w:sz w:val="18"/>
                <w:szCs w:val="18"/>
              </w:rPr>
              <w:t xml:space="preserve"> Timber Structures Code – Design Methods</w:t>
            </w:r>
            <w:r w:rsidR="00D50FFE" w:rsidRPr="00E613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</w:t>
            </w:r>
            <w:r w:rsidRPr="00E61399">
              <w:rPr>
                <w:rFonts w:ascii="Arial" w:hAnsi="Arial" w:cs="Arial"/>
                <w:spacing w:val="-2"/>
                <w:sz w:val="18"/>
                <w:szCs w:val="18"/>
              </w:rPr>
              <w:t>2053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pacing w:val="-2"/>
                <w:sz w:val="18"/>
                <w:szCs w:val="18"/>
              </w:rPr>
              <w:t>Conduits and Fittings for Electrical Installations</w:t>
            </w:r>
            <w:r w:rsidR="00D50FFE" w:rsidRPr="00E61399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2334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Steel Nails – Metric Series.</w:t>
            </w:r>
          </w:p>
        </w:tc>
      </w:tr>
      <w:tr w:rsidR="00055975" w:rsidRPr="00E61399">
        <w:tc>
          <w:tcPr>
            <w:tcW w:w="1559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2648.1</w:t>
            </w:r>
          </w:p>
        </w:tc>
        <w:tc>
          <w:tcPr>
            <w:tcW w:w="7761" w:type="dxa"/>
          </w:tcPr>
          <w:p w:rsidR="00055975" w:rsidRPr="00E61399" w:rsidRDefault="00055975" w:rsidP="00EF41C9">
            <w:pPr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61399">
              <w:rPr>
                <w:rFonts w:ascii="Arial" w:hAnsi="Arial" w:cs="Arial"/>
                <w:spacing w:val="-2"/>
                <w:sz w:val="18"/>
                <w:szCs w:val="18"/>
              </w:rPr>
              <w:t>Underground Marking Tape</w:t>
            </w:r>
            <w:r w:rsidR="00D50FFE" w:rsidRPr="00E61399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467DE9" w:rsidRPr="00E61399" w:rsidTr="00F86486">
        <w:tc>
          <w:tcPr>
            <w:tcW w:w="1559" w:type="dxa"/>
          </w:tcPr>
          <w:p w:rsidR="00467DE9" w:rsidRPr="00E61399" w:rsidRDefault="00467DE9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3000</w:t>
            </w:r>
          </w:p>
        </w:tc>
        <w:tc>
          <w:tcPr>
            <w:tcW w:w="7761" w:type="dxa"/>
          </w:tcPr>
          <w:p w:rsidR="00467DE9" w:rsidRPr="00E61399" w:rsidRDefault="00467DE9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pacing w:val="-2"/>
                <w:sz w:val="18"/>
                <w:szCs w:val="18"/>
              </w:rPr>
              <w:t>Electrical Installations (known as the Australia/New Zealand Wiring Rules)</w:t>
            </w:r>
            <w:r w:rsidR="00D50FFE" w:rsidRPr="00E61399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D50FFE" w:rsidRPr="00E61399" w:rsidTr="00F86486">
        <w:tc>
          <w:tcPr>
            <w:tcW w:w="1559" w:type="dxa"/>
          </w:tcPr>
          <w:p w:rsidR="00D50FFE" w:rsidRPr="00E61399" w:rsidRDefault="00D50FFE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 3004</w:t>
            </w:r>
          </w:p>
        </w:tc>
        <w:tc>
          <w:tcPr>
            <w:tcW w:w="7761" w:type="dxa"/>
          </w:tcPr>
          <w:p w:rsidR="00D50FFE" w:rsidRPr="00E61399" w:rsidRDefault="00D50FFE" w:rsidP="00EF41C9">
            <w:pPr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61399">
              <w:rPr>
                <w:rFonts w:ascii="Arial" w:hAnsi="Arial" w:cs="Arial"/>
                <w:spacing w:val="-2"/>
                <w:sz w:val="18"/>
                <w:szCs w:val="18"/>
              </w:rPr>
              <w:t>Electrical Installations – Marinas and recreational boats.</w:t>
            </w:r>
          </w:p>
        </w:tc>
      </w:tr>
      <w:tr w:rsidR="00467DE9" w:rsidRPr="00E61399" w:rsidTr="00F86486">
        <w:tc>
          <w:tcPr>
            <w:tcW w:w="1559" w:type="dxa"/>
          </w:tcPr>
          <w:p w:rsidR="00467DE9" w:rsidRPr="00E61399" w:rsidRDefault="00467DE9" w:rsidP="00EF41C9">
            <w:pPr>
              <w:spacing w:before="60" w:after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AS</w:t>
            </w:r>
            <w:r w:rsidR="00D50FFE" w:rsidRPr="00E61399">
              <w:rPr>
                <w:rFonts w:ascii="Arial" w:hAnsi="Arial" w:cs="Arial"/>
                <w:sz w:val="18"/>
                <w:szCs w:val="18"/>
              </w:rPr>
              <w:t> </w:t>
            </w:r>
            <w:r w:rsidRPr="00E61399">
              <w:rPr>
                <w:rFonts w:ascii="Arial" w:hAnsi="Arial" w:cs="Arial"/>
                <w:sz w:val="18"/>
                <w:szCs w:val="18"/>
              </w:rPr>
              <w:t>4680</w:t>
            </w:r>
          </w:p>
        </w:tc>
        <w:tc>
          <w:tcPr>
            <w:tcW w:w="7761" w:type="dxa"/>
          </w:tcPr>
          <w:p w:rsidR="00467DE9" w:rsidRPr="00E61399" w:rsidRDefault="00467DE9" w:rsidP="00EF41C9">
            <w:pPr>
              <w:spacing w:before="60" w:after="60"/>
              <w:jc w:val="left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61399">
              <w:rPr>
                <w:rFonts w:ascii="Arial" w:hAnsi="Arial" w:cs="Arial"/>
                <w:spacing w:val="-2"/>
                <w:sz w:val="18"/>
                <w:szCs w:val="18"/>
              </w:rPr>
              <w:t>Hot Dip Galvanised (Zinc) Coating on Fabricated Ferrous Articles</w:t>
            </w:r>
            <w:r w:rsidR="00D50FFE" w:rsidRPr="00E61399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</w:tbl>
    <w:p w:rsidR="00055975" w:rsidRPr="00E61399" w:rsidRDefault="00055975" w:rsidP="00EF41C9">
      <w:pPr>
        <w:jc w:val="left"/>
        <w:rPr>
          <w:rFonts w:ascii="Arial" w:hAnsi="Arial" w:cs="Arial"/>
          <w:spacing w:val="-2"/>
          <w:sz w:val="18"/>
          <w:szCs w:val="18"/>
        </w:rPr>
      </w:pPr>
    </w:p>
    <w:p w:rsidR="00D50FFE" w:rsidRPr="00E61399" w:rsidRDefault="00D50FFE" w:rsidP="00EF41C9">
      <w:pPr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The work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undertaken in accordance with the following drawings:</w:t>
      </w:r>
    </w:p>
    <w:tbl>
      <w:tblPr>
        <w:tblW w:w="938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658"/>
        <w:gridCol w:w="6077"/>
        <w:gridCol w:w="1650"/>
      </w:tblGrid>
      <w:tr w:rsidR="00EF1603" w:rsidRPr="00E61399" w:rsidTr="004E314E">
        <w:trPr>
          <w:trHeight w:val="291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61399">
              <w:rPr>
                <w:rFonts w:ascii="Arial" w:hAnsi="Arial" w:cs="Arial"/>
                <w:sz w:val="18"/>
                <w:szCs w:val="18"/>
                <w:lang w:eastAsia="en-AU"/>
              </w:rPr>
              <w:t>Amendment No.</w:t>
            </w:r>
          </w:p>
        </w:tc>
      </w:tr>
      <w:tr w:rsidR="00EF1603" w:rsidRPr="00E61399" w:rsidTr="004E314E">
        <w:trPr>
          <w:trHeight w:val="291"/>
        </w:trPr>
        <w:tc>
          <w:tcPr>
            <w:tcW w:w="7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61399">
              <w:rPr>
                <w:rFonts w:ascii="Arial" w:hAnsi="Arial" w:cs="Arial"/>
                <w:sz w:val="18"/>
                <w:szCs w:val="18"/>
                <w:u w:val="single"/>
                <w:lang w:eastAsia="en-AU"/>
              </w:rPr>
              <w:t>Drawing No. S</w:t>
            </w:r>
            <w:r w:rsidRPr="00E61399">
              <w:rPr>
                <w:rFonts w:ascii="Arial" w:hAnsi="Arial" w:cs="Arial"/>
                <w:sz w:val="18"/>
                <w:szCs w:val="18"/>
                <w:u w:val="single"/>
                <w:lang w:eastAsia="en-AU"/>
              </w:rPr>
              <w:noBreakHyphen/>
              <w:t>6997, Jetty Construction</w:t>
            </w:r>
            <w:r w:rsidRPr="00E61399">
              <w:rPr>
                <w:rFonts w:ascii="Arial" w:hAnsi="Arial" w:cs="Arial"/>
                <w:sz w:val="18"/>
                <w:szCs w:val="18"/>
                <w:lang w:eastAsia="en-AU"/>
              </w:rP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</w:tr>
      <w:tr w:rsidR="00EF1603" w:rsidRPr="00E61399" w:rsidTr="004E314E">
        <w:trPr>
          <w:trHeight w:val="255"/>
        </w:trPr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61399">
              <w:rPr>
                <w:rFonts w:ascii="Arial" w:hAnsi="Arial" w:cs="Arial"/>
                <w:sz w:val="18"/>
                <w:szCs w:val="18"/>
                <w:lang w:eastAsia="en-AU"/>
              </w:rPr>
              <w:t>sheet 1</w:t>
            </w: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61399">
              <w:rPr>
                <w:rFonts w:ascii="Arial" w:hAnsi="Arial" w:cs="Arial"/>
                <w:sz w:val="18"/>
                <w:szCs w:val="18"/>
                <w:lang w:eastAsia="en-AU"/>
              </w:rPr>
              <w:t>Typical Jetty Layout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603" w:rsidRPr="00E61399" w:rsidRDefault="00EF1603" w:rsidP="00EF41C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E61399">
              <w:rPr>
                <w:rFonts w:ascii="Arial" w:hAnsi="Arial" w:cs="Arial"/>
                <w:sz w:val="18"/>
                <w:szCs w:val="18"/>
                <w:lang w:eastAsia="en-AU"/>
              </w:rPr>
              <w:t>-</w:t>
            </w:r>
          </w:p>
        </w:tc>
      </w:tr>
    </w:tbl>
    <w:p w:rsidR="009F650E" w:rsidRPr="00E61399" w:rsidRDefault="009F650E" w:rsidP="00EF41C9">
      <w:pPr>
        <w:ind w:left="180"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These drawings are available from the following web site:</w:t>
      </w:r>
    </w:p>
    <w:p w:rsidR="009F650E" w:rsidRPr="00E61399" w:rsidRDefault="00E61399" w:rsidP="00EF41C9">
      <w:pPr>
        <w:tabs>
          <w:tab w:val="left" w:pos="-720"/>
        </w:tabs>
        <w:suppressAutoHyphens/>
        <w:jc w:val="left"/>
        <w:rPr>
          <w:rFonts w:ascii="Arial" w:hAnsi="Arial" w:cs="Arial"/>
          <w:sz w:val="18"/>
          <w:szCs w:val="18"/>
        </w:rPr>
      </w:pPr>
      <w:hyperlink r:id="rId7" w:history="1">
        <w:r w:rsidR="00EF41C9" w:rsidRPr="00E61399">
          <w:rPr>
            <w:rStyle w:val="Hyperlink"/>
            <w:rFonts w:ascii="Arial" w:hAnsi="Arial" w:cs="Arial"/>
            <w:sz w:val="18"/>
            <w:szCs w:val="18"/>
          </w:rPr>
          <w:t>http://www.dpti.sa.gov.au/documents/marine_facilities2</w:t>
        </w:r>
      </w:hyperlink>
    </w:p>
    <w:p w:rsidR="00EF41C9" w:rsidRPr="00E61399" w:rsidRDefault="00EF41C9" w:rsidP="00EF41C9">
      <w:pPr>
        <w:tabs>
          <w:tab w:val="left" w:pos="-720"/>
        </w:tabs>
        <w:suppressAutoHyphens/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tabs>
          <w:tab w:val="left" w:pos="-720"/>
        </w:tabs>
        <w:suppressAutoHyphens/>
        <w:jc w:val="left"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</w:rPr>
        <w:t>2.</w:t>
      </w:r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HANDRAILS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The handrail system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either of the following as specified on the Drawings or Scope of </w:t>
      </w:r>
      <w:r w:rsidR="0031030E" w:rsidRPr="00E61399">
        <w:rPr>
          <w:rFonts w:ascii="Arial" w:hAnsi="Arial" w:cs="Arial"/>
          <w:sz w:val="18"/>
          <w:szCs w:val="18"/>
        </w:rPr>
        <w:t>Contract</w:t>
      </w:r>
      <w:r w:rsidRPr="00E61399">
        <w:rPr>
          <w:rFonts w:ascii="Arial" w:hAnsi="Arial" w:cs="Arial"/>
          <w:sz w:val="18"/>
          <w:szCs w:val="18"/>
        </w:rPr>
        <w:t>: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(a)</w:t>
      </w:r>
      <w:r w:rsidRPr="00E61399">
        <w:rPr>
          <w:rFonts w:ascii="Arial" w:hAnsi="Arial" w:cs="Arial"/>
          <w:sz w:val="18"/>
          <w:szCs w:val="18"/>
        </w:rPr>
        <w:tab/>
      </w:r>
      <w:r w:rsidRPr="00E61399">
        <w:rPr>
          <w:rFonts w:ascii="Arial" w:hAnsi="Arial" w:cs="Arial"/>
          <w:sz w:val="18"/>
          <w:szCs w:val="18"/>
          <w:u w:val="single"/>
        </w:rPr>
        <w:t>Timber Post and Handrail</w:t>
      </w:r>
      <w:r w:rsidRPr="00E61399">
        <w:rPr>
          <w:rFonts w:ascii="Arial" w:hAnsi="Arial" w:cs="Arial"/>
          <w:sz w:val="18"/>
          <w:szCs w:val="18"/>
        </w:rPr>
        <w:t xml:space="preserve"> (to match existing)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BE6C02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This system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comply with the guardrail provisions of AS 1657.</w:t>
      </w:r>
    </w:p>
    <w:p w:rsidR="00BE6C02" w:rsidRPr="00E61399" w:rsidRDefault="00BE6C02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Posts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90 mm x 90 mm Hardwood </w:t>
      </w:r>
      <w:r w:rsidR="0057238D" w:rsidRPr="00E61399">
        <w:rPr>
          <w:rFonts w:ascii="Arial" w:hAnsi="Arial" w:cs="Arial"/>
          <w:sz w:val="18"/>
          <w:szCs w:val="18"/>
        </w:rPr>
        <w:t>D</w:t>
      </w:r>
      <w:r w:rsidRPr="00E61399">
        <w:rPr>
          <w:rFonts w:ascii="Arial" w:hAnsi="Arial" w:cs="Arial"/>
          <w:sz w:val="18"/>
          <w:szCs w:val="18"/>
        </w:rPr>
        <w:t>AR (</w:t>
      </w:r>
      <w:r w:rsidR="0057238D" w:rsidRPr="00E61399">
        <w:rPr>
          <w:rFonts w:ascii="Arial" w:hAnsi="Arial" w:cs="Arial"/>
          <w:sz w:val="18"/>
          <w:szCs w:val="18"/>
        </w:rPr>
        <w:t>Dressed</w:t>
      </w:r>
      <w:r w:rsidRPr="00E61399">
        <w:rPr>
          <w:rFonts w:ascii="Arial" w:hAnsi="Arial" w:cs="Arial"/>
          <w:sz w:val="18"/>
          <w:szCs w:val="18"/>
        </w:rPr>
        <w:t xml:space="preserve"> all Round).</w:t>
      </w:r>
      <w:r w:rsidR="00BE6C02" w:rsidRPr="00E61399">
        <w:rPr>
          <w:rFonts w:ascii="Arial" w:hAnsi="Arial" w:cs="Arial"/>
          <w:sz w:val="18"/>
          <w:szCs w:val="18"/>
        </w:rPr>
        <w:t xml:space="preserve">  </w:t>
      </w:r>
      <w:r w:rsidRPr="00E61399">
        <w:rPr>
          <w:rFonts w:ascii="Arial" w:hAnsi="Arial" w:cs="Arial"/>
          <w:sz w:val="18"/>
          <w:szCs w:val="18"/>
        </w:rPr>
        <w:t xml:space="preserve">Top rails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90 mm x 90 mm </w:t>
      </w:r>
      <w:r w:rsidR="00BE6C02" w:rsidRPr="00E61399">
        <w:rPr>
          <w:rFonts w:ascii="Arial" w:hAnsi="Arial" w:cs="Arial"/>
          <w:sz w:val="18"/>
          <w:szCs w:val="18"/>
        </w:rPr>
        <w:t>Hardwood</w:t>
      </w:r>
      <w:r w:rsidRPr="00E61399">
        <w:rPr>
          <w:rFonts w:ascii="Arial" w:hAnsi="Arial" w:cs="Arial"/>
          <w:sz w:val="18"/>
          <w:szCs w:val="18"/>
        </w:rPr>
        <w:t xml:space="preserve"> moulding </w:t>
      </w:r>
      <w:r w:rsidR="00CA6CF5" w:rsidRPr="00E61399">
        <w:rPr>
          <w:rFonts w:ascii="Arial" w:hAnsi="Arial" w:cs="Arial"/>
          <w:sz w:val="18"/>
          <w:szCs w:val="18"/>
        </w:rPr>
        <w:t>D</w:t>
      </w:r>
      <w:r w:rsidRPr="00E61399">
        <w:rPr>
          <w:rFonts w:ascii="Arial" w:hAnsi="Arial" w:cs="Arial"/>
          <w:sz w:val="18"/>
          <w:szCs w:val="18"/>
        </w:rPr>
        <w:t xml:space="preserve">AR or 50 mm galvanised steel pipe.  </w:t>
      </w:r>
      <w:r w:rsidR="00BE6C02" w:rsidRPr="00E61399">
        <w:rPr>
          <w:rFonts w:ascii="Arial" w:hAnsi="Arial" w:cs="Arial"/>
          <w:sz w:val="18"/>
          <w:szCs w:val="18"/>
        </w:rPr>
        <w:t>Hardwood</w:t>
      </w:r>
      <w:r w:rsidRPr="00E61399">
        <w:rPr>
          <w:rFonts w:ascii="Arial" w:hAnsi="Arial" w:cs="Arial"/>
          <w:sz w:val="18"/>
          <w:szCs w:val="18"/>
        </w:rPr>
        <w:t xml:space="preserve"> rails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have the</w:t>
      </w:r>
      <w:r w:rsidR="00B700C6" w:rsidRPr="00E61399">
        <w:rPr>
          <w:rFonts w:ascii="Arial" w:hAnsi="Arial" w:cs="Arial"/>
          <w:sz w:val="18"/>
          <w:szCs w:val="18"/>
        </w:rPr>
        <w:t>ir top corners machined to a 25 mm r</w:t>
      </w:r>
      <w:r w:rsidRPr="00E61399">
        <w:rPr>
          <w:rFonts w:ascii="Arial" w:hAnsi="Arial" w:cs="Arial"/>
          <w:sz w:val="18"/>
          <w:szCs w:val="18"/>
        </w:rPr>
        <w:t xml:space="preserve">adius as shown on Drawing No. S </w:t>
      </w:r>
      <w:r w:rsidR="00EF1603" w:rsidRPr="00E61399">
        <w:rPr>
          <w:rFonts w:ascii="Arial" w:hAnsi="Arial" w:cs="Arial"/>
          <w:sz w:val="18"/>
          <w:szCs w:val="18"/>
        </w:rPr>
        <w:t>–</w:t>
      </w:r>
      <w:r w:rsidRPr="00E61399">
        <w:rPr>
          <w:rFonts w:ascii="Arial" w:hAnsi="Arial" w:cs="Arial"/>
          <w:sz w:val="18"/>
          <w:szCs w:val="18"/>
        </w:rPr>
        <w:t xml:space="preserve"> </w:t>
      </w:r>
      <w:r w:rsidR="00EF1603" w:rsidRPr="00E61399">
        <w:rPr>
          <w:rFonts w:ascii="Arial" w:hAnsi="Arial" w:cs="Arial"/>
          <w:sz w:val="18"/>
          <w:szCs w:val="18"/>
        </w:rPr>
        <w:t xml:space="preserve">6997 sheet </w:t>
      </w:r>
      <w:proofErr w:type="gramStart"/>
      <w:r w:rsidR="00EF1603" w:rsidRPr="00E61399">
        <w:rPr>
          <w:rFonts w:ascii="Arial" w:hAnsi="Arial" w:cs="Arial"/>
          <w:sz w:val="18"/>
          <w:szCs w:val="18"/>
        </w:rPr>
        <w:t>1</w:t>
      </w:r>
      <w:proofErr w:type="gramEnd"/>
      <w:r w:rsidRPr="00E61399">
        <w:rPr>
          <w:rFonts w:ascii="Arial" w:hAnsi="Arial" w:cs="Arial"/>
          <w:sz w:val="18"/>
          <w:szCs w:val="18"/>
        </w:rPr>
        <w:t>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lastRenderedPageBreak/>
        <w:t xml:space="preserve">Intermediate steel cable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7/3.25 strand, galvanised steel wire rope, threaded through pre-drilled holes in posts and tensioned and tied off with 3 wire rope grips at terminal posts.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The top rail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connected to posts by </w:t>
      </w:r>
      <w:r w:rsidR="00BE6C02" w:rsidRPr="00E61399">
        <w:rPr>
          <w:rFonts w:ascii="Arial" w:hAnsi="Arial" w:cs="Arial"/>
          <w:sz w:val="18"/>
          <w:szCs w:val="18"/>
        </w:rPr>
        <w:t>150 </w:t>
      </w:r>
      <w:proofErr w:type="gramStart"/>
      <w:r w:rsidR="00BE6C02" w:rsidRPr="00E61399">
        <w:rPr>
          <w:rFonts w:ascii="Arial" w:hAnsi="Arial" w:cs="Arial"/>
          <w:sz w:val="18"/>
          <w:szCs w:val="18"/>
        </w:rPr>
        <w:t xml:space="preserve">mm </w:t>
      </w:r>
      <w:r w:rsidRPr="00E61399">
        <w:rPr>
          <w:rFonts w:ascii="Arial" w:hAnsi="Arial" w:cs="Arial"/>
          <w:sz w:val="18"/>
          <w:szCs w:val="18"/>
        </w:rPr>
        <w:t>galvanised</w:t>
      </w:r>
      <w:proofErr w:type="gramEnd"/>
      <w:r w:rsidRPr="00E61399">
        <w:rPr>
          <w:rFonts w:ascii="Arial" w:hAnsi="Arial" w:cs="Arial"/>
          <w:sz w:val="18"/>
          <w:szCs w:val="18"/>
        </w:rPr>
        <w:t xml:space="preserve"> </w:t>
      </w:r>
      <w:r w:rsidR="00BE6C02" w:rsidRPr="00E61399">
        <w:rPr>
          <w:rFonts w:ascii="Arial" w:hAnsi="Arial" w:cs="Arial"/>
          <w:sz w:val="18"/>
          <w:szCs w:val="18"/>
        </w:rPr>
        <w:t>self tapping screws</w:t>
      </w:r>
      <w:r w:rsidRPr="00E61399">
        <w:rPr>
          <w:rFonts w:ascii="Arial" w:hAnsi="Arial" w:cs="Arial"/>
          <w:sz w:val="18"/>
          <w:szCs w:val="18"/>
        </w:rPr>
        <w:t xml:space="preserve">, </w:t>
      </w:r>
      <w:r w:rsidR="00BE6C02" w:rsidRPr="00E61399">
        <w:rPr>
          <w:rFonts w:ascii="Arial" w:hAnsi="Arial" w:cs="Arial"/>
          <w:sz w:val="18"/>
          <w:szCs w:val="18"/>
        </w:rPr>
        <w:t>screwed</w:t>
      </w:r>
      <w:r w:rsidRPr="00E61399">
        <w:rPr>
          <w:rFonts w:ascii="Arial" w:hAnsi="Arial" w:cs="Arial"/>
          <w:sz w:val="18"/>
          <w:szCs w:val="18"/>
        </w:rPr>
        <w:t xml:space="preserve"> vertically through the handrail into the top of the post.  The rail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also be strapped to the post with 25 mm wide x 1.0 mm galvanised steel hoop straps, fixed into the post with galvanised nails.  Nails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comply with AS 2334.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91F36" w:rsidRPr="00E61399" w:rsidRDefault="00055975" w:rsidP="00EF41C9">
      <w:pPr>
        <w:pStyle w:val="NoSpacing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Hardwood posts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fixed to the outside vertical face of edge girders with two M16 galvanised bolts.</w:t>
      </w:r>
      <w:r w:rsidR="00091F36" w:rsidRPr="00E61399">
        <w:rPr>
          <w:rFonts w:ascii="Arial" w:hAnsi="Arial" w:cs="Arial"/>
          <w:sz w:val="18"/>
          <w:szCs w:val="18"/>
        </w:rPr>
        <w:t xml:space="preserve">  Where spacer blocks </w:t>
      </w:r>
      <w:proofErr w:type="gramStart"/>
      <w:r w:rsidR="00091F36" w:rsidRPr="00E61399">
        <w:rPr>
          <w:rFonts w:ascii="Arial" w:hAnsi="Arial" w:cs="Arial"/>
          <w:sz w:val="18"/>
          <w:szCs w:val="18"/>
        </w:rPr>
        <w:t>are required to be used</w:t>
      </w:r>
      <w:proofErr w:type="gramEnd"/>
      <w:r w:rsidR="00091F36" w:rsidRPr="00E61399">
        <w:rPr>
          <w:rFonts w:ascii="Arial" w:hAnsi="Arial" w:cs="Arial"/>
          <w:sz w:val="18"/>
          <w:szCs w:val="18"/>
        </w:rPr>
        <w:t xml:space="preserve"> to maintain the longitudinal alignment of the timber posts the blocks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="00091F36" w:rsidRPr="00E61399">
        <w:rPr>
          <w:rFonts w:ascii="Arial" w:hAnsi="Arial" w:cs="Arial"/>
          <w:sz w:val="18"/>
          <w:szCs w:val="18"/>
        </w:rPr>
        <w:t xml:space="preserve"> be as follows:</w:t>
      </w:r>
    </w:p>
    <w:p w:rsidR="00091F36" w:rsidRPr="00E61399" w:rsidRDefault="00091F36" w:rsidP="00EF41C9">
      <w:pPr>
        <w:pStyle w:val="NoSpacing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For horizontal gaps between the vertical face of the edge girder and the post greater than 50 mm hardwood timber or approved plastic spacers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used;</w:t>
      </w:r>
    </w:p>
    <w:p w:rsidR="00091F36" w:rsidRPr="00E61399" w:rsidRDefault="00091F36" w:rsidP="00EF41C9">
      <w:pPr>
        <w:pStyle w:val="NoSpacing"/>
        <w:numPr>
          <w:ilvl w:val="0"/>
          <w:numId w:val="1"/>
        </w:numPr>
        <w:spacing w:before="120"/>
        <w:ind w:left="714" w:hanging="357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For horizontal gaps between the vertical face of the edge girder and the </w:t>
      </w:r>
      <w:proofErr w:type="gramStart"/>
      <w:r w:rsidRPr="00E61399">
        <w:rPr>
          <w:rFonts w:ascii="Arial" w:hAnsi="Arial" w:cs="Arial"/>
          <w:sz w:val="18"/>
          <w:szCs w:val="18"/>
        </w:rPr>
        <w:t>post</w:t>
      </w:r>
      <w:proofErr w:type="gramEnd"/>
      <w:r w:rsidRPr="00E61399">
        <w:rPr>
          <w:rFonts w:ascii="Arial" w:hAnsi="Arial" w:cs="Arial"/>
          <w:sz w:val="18"/>
          <w:szCs w:val="18"/>
        </w:rPr>
        <w:t xml:space="preserve"> less than 50 mm only approved plastic blocks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used.</w:t>
      </w:r>
    </w:p>
    <w:p w:rsidR="00091F36" w:rsidRPr="00E61399" w:rsidRDefault="00091F36" w:rsidP="00EF41C9">
      <w:pPr>
        <w:pStyle w:val="NoSpacing"/>
        <w:rPr>
          <w:rFonts w:ascii="Arial" w:hAnsi="Arial" w:cs="Arial"/>
          <w:sz w:val="18"/>
          <w:szCs w:val="18"/>
        </w:rPr>
      </w:pPr>
    </w:p>
    <w:p w:rsidR="00091F36" w:rsidRPr="00E61399" w:rsidRDefault="00091F36" w:rsidP="00EF41C9">
      <w:pPr>
        <w:pStyle w:val="NoSpacing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All spacer blocks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the full length of the vertical face of the edge girder and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bolted to the vertical face of the edge girder by the post bolts.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The finish on the handrail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be:</w:t>
      </w:r>
    </w:p>
    <w:p w:rsidR="00055975" w:rsidRPr="00E61399" w:rsidRDefault="00055975" w:rsidP="00EF41C9">
      <w:pPr>
        <w:spacing w:before="120"/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ab/>
        <w:t>Prime Coat:</w:t>
      </w:r>
      <w:r w:rsidRPr="00E61399">
        <w:rPr>
          <w:rFonts w:ascii="Arial" w:hAnsi="Arial" w:cs="Arial"/>
          <w:sz w:val="18"/>
          <w:szCs w:val="18"/>
        </w:rPr>
        <w:tab/>
        <w:t>One coat of acrylic undercoat.</w:t>
      </w:r>
    </w:p>
    <w:p w:rsidR="00055975" w:rsidRPr="00E61399" w:rsidRDefault="00055975" w:rsidP="00EF41C9">
      <w:pPr>
        <w:spacing w:before="120"/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ab/>
        <w:t>Top Coat:</w:t>
      </w:r>
      <w:r w:rsidRPr="00E61399">
        <w:rPr>
          <w:rFonts w:ascii="Arial" w:hAnsi="Arial" w:cs="Arial"/>
          <w:sz w:val="18"/>
          <w:szCs w:val="18"/>
        </w:rPr>
        <w:tab/>
        <w:t>Two coats of approved UV stabilised acrylic paint (white).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  <w:u w:val="single"/>
        </w:rPr>
      </w:pPr>
      <w:r w:rsidRPr="00E61399">
        <w:rPr>
          <w:rFonts w:ascii="Arial" w:hAnsi="Arial" w:cs="Arial"/>
          <w:sz w:val="18"/>
          <w:szCs w:val="18"/>
        </w:rPr>
        <w:t>(b)</w:t>
      </w:r>
      <w:r w:rsidRPr="00E61399">
        <w:rPr>
          <w:rFonts w:ascii="Arial" w:hAnsi="Arial" w:cs="Arial"/>
          <w:sz w:val="18"/>
          <w:szCs w:val="18"/>
        </w:rPr>
        <w:tab/>
      </w:r>
      <w:r w:rsidRPr="00E61399">
        <w:rPr>
          <w:rFonts w:ascii="Arial" w:hAnsi="Arial" w:cs="Arial"/>
          <w:sz w:val="18"/>
          <w:szCs w:val="18"/>
          <w:u w:val="single"/>
        </w:rPr>
        <w:t>Steel Tubular Handrail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Where specified, the Contractor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use "</w:t>
      </w:r>
      <w:proofErr w:type="spellStart"/>
      <w:r w:rsidRPr="00E61399">
        <w:rPr>
          <w:rFonts w:ascii="Arial" w:hAnsi="Arial" w:cs="Arial"/>
          <w:sz w:val="18"/>
          <w:szCs w:val="18"/>
        </w:rPr>
        <w:t>Monowills</w:t>
      </w:r>
      <w:proofErr w:type="spellEnd"/>
      <w:r w:rsidRPr="00E61399">
        <w:rPr>
          <w:rFonts w:ascii="Arial" w:hAnsi="Arial" w:cs="Arial"/>
          <w:sz w:val="18"/>
          <w:szCs w:val="18"/>
        </w:rPr>
        <w:t xml:space="preserve"> Standard Handrail System" or similar and approved.  Installation of handrail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in accordance with AS 1657.</w:t>
      </w:r>
      <w:r w:rsidR="00EF1603" w:rsidRPr="00E61399">
        <w:rPr>
          <w:rFonts w:ascii="Arial" w:hAnsi="Arial" w:cs="Arial"/>
          <w:sz w:val="18"/>
          <w:szCs w:val="18"/>
        </w:rPr>
        <w:t xml:space="preserve">  Two washers (one at the head and one at the nut)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="00EF1603" w:rsidRPr="00E61399">
        <w:rPr>
          <w:rFonts w:ascii="Arial" w:hAnsi="Arial" w:cs="Arial"/>
          <w:sz w:val="18"/>
          <w:szCs w:val="18"/>
        </w:rPr>
        <w:t xml:space="preserve"> be installed for each bolt.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If Type SO has been specified on the Drawings, the handrail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bolted to the outside vertical face of the edge girder with two M16 galvanised bolts where practicable.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If any other type of handrail is specified on the </w:t>
      </w:r>
      <w:proofErr w:type="gramStart"/>
      <w:r w:rsidRPr="00E61399">
        <w:rPr>
          <w:rFonts w:ascii="Arial" w:hAnsi="Arial" w:cs="Arial"/>
          <w:sz w:val="18"/>
          <w:szCs w:val="18"/>
        </w:rPr>
        <w:t>Drawings</w:t>
      </w:r>
      <w:proofErr w:type="gramEnd"/>
      <w:r w:rsidRPr="00E61399">
        <w:rPr>
          <w:rFonts w:ascii="Arial" w:hAnsi="Arial" w:cs="Arial"/>
          <w:sz w:val="18"/>
          <w:szCs w:val="18"/>
        </w:rPr>
        <w:t xml:space="preserve"> the handrail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fixed to the kerbing or decking using M16 galvanised bolts and a 10 mm backing plate.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All components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hot-dip galvanised in accordance with AS </w:t>
      </w:r>
      <w:r w:rsidR="0031030E" w:rsidRPr="00E61399">
        <w:rPr>
          <w:rFonts w:ascii="Arial" w:hAnsi="Arial" w:cs="Arial"/>
          <w:sz w:val="18"/>
          <w:szCs w:val="18"/>
        </w:rPr>
        <w:t>4680</w:t>
      </w:r>
      <w:r w:rsidRPr="00E61399">
        <w:rPr>
          <w:rFonts w:ascii="Arial" w:hAnsi="Arial" w:cs="Arial"/>
          <w:sz w:val="18"/>
          <w:szCs w:val="18"/>
        </w:rPr>
        <w:t>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(c)</w:t>
      </w:r>
      <w:r w:rsidRPr="00E61399">
        <w:rPr>
          <w:rFonts w:ascii="Arial" w:hAnsi="Arial" w:cs="Arial"/>
          <w:sz w:val="18"/>
          <w:szCs w:val="18"/>
        </w:rPr>
        <w:tab/>
      </w:r>
      <w:r w:rsidRPr="00E61399">
        <w:rPr>
          <w:rFonts w:ascii="Arial" w:hAnsi="Arial" w:cs="Arial"/>
          <w:sz w:val="18"/>
          <w:szCs w:val="18"/>
          <w:u w:val="single"/>
        </w:rPr>
        <w:t>Repair of Existing Handrail</w:t>
      </w:r>
    </w:p>
    <w:p w:rsidR="00055975" w:rsidRPr="00E61399" w:rsidRDefault="00055975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 xml:space="preserve">Where specified on the Drawings or Scope of </w:t>
      </w:r>
      <w:r w:rsidR="0031030E" w:rsidRPr="00E61399">
        <w:rPr>
          <w:rFonts w:ascii="Arial" w:hAnsi="Arial" w:cs="Arial"/>
          <w:spacing w:val="-2"/>
          <w:sz w:val="18"/>
          <w:szCs w:val="18"/>
        </w:rPr>
        <w:t>Contract</w:t>
      </w:r>
      <w:r w:rsidRPr="00E61399">
        <w:rPr>
          <w:rFonts w:ascii="Arial" w:hAnsi="Arial" w:cs="Arial"/>
          <w:spacing w:val="-2"/>
          <w:sz w:val="18"/>
          <w:szCs w:val="18"/>
        </w:rPr>
        <w:t xml:space="preserve">, the existing handrail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must</w:t>
      </w:r>
      <w:r w:rsidRPr="00E61399">
        <w:rPr>
          <w:rFonts w:ascii="Arial" w:hAnsi="Arial" w:cs="Arial"/>
          <w:spacing w:val="-2"/>
          <w:sz w:val="18"/>
          <w:szCs w:val="18"/>
        </w:rPr>
        <w:t xml:space="preserve"> be repaired and/or components removed and replaced to match that of existing to the satisfaction of the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Principal</w:t>
      </w:r>
      <w:r w:rsidRPr="00E61399">
        <w:rPr>
          <w:rFonts w:ascii="Arial" w:hAnsi="Arial" w:cs="Arial"/>
          <w:spacing w:val="-2"/>
          <w:sz w:val="18"/>
          <w:szCs w:val="18"/>
        </w:rPr>
        <w:t>.</w:t>
      </w:r>
    </w:p>
    <w:p w:rsidR="00055975" w:rsidRPr="00E61399" w:rsidRDefault="00055975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EF41C9">
      <w:pPr>
        <w:tabs>
          <w:tab w:val="left" w:pos="-720"/>
          <w:tab w:val="left" w:pos="0"/>
        </w:tabs>
        <w:suppressAutoHyphens/>
        <w:ind w:left="720" w:hanging="720"/>
        <w:jc w:val="left"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</w:rPr>
        <w:t>3.</w:t>
      </w:r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STAIRS/PLATFORMS/LADDERS AND RAMPS</w:t>
      </w:r>
    </w:p>
    <w:p w:rsidR="00055975" w:rsidRPr="00E61399" w:rsidRDefault="00055975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New ladders and associated fixings/connections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constructed from marine grade aluminium (Alloy 6061 T6), unless specified otherwise on the Drawings.  Steps, platforms and ramps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constructed of timber unless specified otherwise on the Drawings.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The stairs, platforms, ramps and ladders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designed and installed to comply with AS 1657.  All ladders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of "Walk Through" design.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Aluminium ladders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comply with AS 1664.  Stiles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constructed of tube not less than 48.4 mm diameter and 4.4 mm wall thickness.  Stiles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have a return to the decking and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free of sharp corners.  The stiles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have a single bend of minimum 225 mm radius.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All timber steps, ladders, platforms and ramps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comply with AS 1720.  Where these are to replace existing steps, ladders, platforms and ramps, the overall dimensions of the new work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generally be the same as the existing.</w:t>
      </w: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Four weeks prior to the manufacture, the Contractor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provide shop</w:t>
      </w:r>
      <w:bookmarkStart w:id="0" w:name="_GoBack"/>
      <w:bookmarkEnd w:id="0"/>
      <w:r w:rsidRPr="00E61399">
        <w:rPr>
          <w:rFonts w:ascii="Arial" w:hAnsi="Arial" w:cs="Arial"/>
          <w:sz w:val="18"/>
          <w:szCs w:val="18"/>
        </w:rPr>
        <w:t xml:space="preserve"> drawings for approval prior to commencing manufacture.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b/>
          <w:spacing w:val="-2"/>
          <w:sz w:val="18"/>
          <w:szCs w:val="18"/>
          <w:u w:val="single"/>
        </w:rPr>
      </w:pPr>
      <w:r w:rsidRPr="00E61399">
        <w:rPr>
          <w:rFonts w:ascii="Arial" w:hAnsi="Arial" w:cs="Arial"/>
          <w:b/>
          <w:spacing w:val="-2"/>
          <w:sz w:val="18"/>
          <w:szCs w:val="18"/>
        </w:rPr>
        <w:lastRenderedPageBreak/>
        <w:t>4.</w:t>
      </w:r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ELECTRICAL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b/>
          <w:spacing w:val="-2"/>
          <w:sz w:val="18"/>
          <w:szCs w:val="18"/>
        </w:rPr>
      </w:pPr>
      <w:proofErr w:type="gramStart"/>
      <w:r w:rsidRPr="00E61399">
        <w:rPr>
          <w:rFonts w:ascii="Arial" w:hAnsi="Arial" w:cs="Arial"/>
          <w:b/>
          <w:spacing w:val="-2"/>
          <w:sz w:val="18"/>
          <w:szCs w:val="18"/>
        </w:rPr>
        <w:t>4.1</w:t>
      </w:r>
      <w:proofErr w:type="gramEnd"/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General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41C9" w:rsidRPr="00E61399" w:rsidRDefault="00EF41C9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>All electrical work must comply with AS 3000.</w:t>
      </w:r>
    </w:p>
    <w:p w:rsidR="00EF41C9" w:rsidRPr="00E61399" w:rsidRDefault="00EF41C9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>The Contractor is responsible for disconnecting and reconnecting all electrical services.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 xml:space="preserve">The Principal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must</w:t>
      </w:r>
      <w:r w:rsidRPr="00E61399">
        <w:rPr>
          <w:rFonts w:ascii="Arial" w:hAnsi="Arial" w:cs="Arial"/>
          <w:spacing w:val="-2"/>
          <w:sz w:val="18"/>
          <w:szCs w:val="18"/>
        </w:rPr>
        <w:t xml:space="preserve"> supply all materials for electrical work as detailed in the Scope of Contract.  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 xml:space="preserve">The Contractor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must</w:t>
      </w:r>
      <w:r w:rsidRPr="00E61399">
        <w:rPr>
          <w:rFonts w:ascii="Arial" w:hAnsi="Arial" w:cs="Arial"/>
          <w:spacing w:val="-2"/>
          <w:sz w:val="18"/>
          <w:szCs w:val="18"/>
        </w:rPr>
        <w:t xml:space="preserve"> install all lighting and power fitti</w:t>
      </w:r>
      <w:r w:rsidR="00EF41C9" w:rsidRPr="00E61399">
        <w:rPr>
          <w:rFonts w:ascii="Arial" w:hAnsi="Arial" w:cs="Arial"/>
          <w:spacing w:val="-2"/>
          <w:sz w:val="18"/>
          <w:szCs w:val="18"/>
        </w:rPr>
        <w:t xml:space="preserve">ngs in accordance with AS 2053 </w:t>
      </w:r>
      <w:r w:rsidRPr="00E61399">
        <w:rPr>
          <w:rFonts w:ascii="Arial" w:hAnsi="Arial" w:cs="Arial"/>
          <w:spacing w:val="-2"/>
          <w:sz w:val="18"/>
          <w:szCs w:val="18"/>
        </w:rPr>
        <w:t>and AS 3004.</w:t>
      </w: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</w:rPr>
        <w:t>4.2</w:t>
      </w:r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Conduits</w:t>
      </w: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  <w:lang w:eastAsia="en-AU"/>
        </w:rPr>
      </w:pPr>
      <w:r w:rsidRPr="00E61399">
        <w:rPr>
          <w:rFonts w:ascii="Arial" w:hAnsi="Arial" w:cs="Arial"/>
          <w:sz w:val="18"/>
          <w:szCs w:val="18"/>
          <w:lang w:eastAsia="en-AU"/>
        </w:rPr>
        <w:t xml:space="preserve">Underground electrical conduits </w:t>
      </w:r>
      <w:r w:rsidR="00EF41C9" w:rsidRPr="00E61399">
        <w:rPr>
          <w:rFonts w:ascii="Arial" w:hAnsi="Arial" w:cs="Arial"/>
          <w:sz w:val="18"/>
          <w:szCs w:val="18"/>
          <w:lang w:eastAsia="en-AU"/>
        </w:rPr>
        <w:t>must</w:t>
      </w:r>
      <w:r w:rsidRPr="00E61399">
        <w:rPr>
          <w:rFonts w:ascii="Arial" w:hAnsi="Arial" w:cs="Arial"/>
          <w:sz w:val="18"/>
          <w:szCs w:val="18"/>
          <w:lang w:eastAsia="en-AU"/>
        </w:rPr>
        <w:t xml:space="preserve"> be </w:t>
      </w:r>
      <w:proofErr w:type="gramStart"/>
      <w:r w:rsidRPr="00E61399">
        <w:rPr>
          <w:rFonts w:ascii="Arial" w:hAnsi="Arial" w:cs="Arial"/>
          <w:sz w:val="18"/>
          <w:szCs w:val="18"/>
          <w:lang w:eastAsia="en-AU"/>
        </w:rPr>
        <w:t>heavy duty</w:t>
      </w:r>
      <w:proofErr w:type="gramEnd"/>
      <w:r w:rsidRPr="00E61399">
        <w:rPr>
          <w:rFonts w:ascii="Arial" w:hAnsi="Arial" w:cs="Arial"/>
          <w:sz w:val="18"/>
          <w:szCs w:val="18"/>
          <w:lang w:eastAsia="en-AU"/>
        </w:rPr>
        <w:t xml:space="preserve"> rigid PVC conduit to AS 2053, colour orange.  Marking tape </w:t>
      </w:r>
      <w:r w:rsidR="00EF41C9" w:rsidRPr="00E61399">
        <w:rPr>
          <w:rFonts w:ascii="Arial" w:hAnsi="Arial" w:cs="Arial"/>
          <w:sz w:val="18"/>
          <w:szCs w:val="18"/>
          <w:lang w:eastAsia="en-AU"/>
        </w:rPr>
        <w:t>must</w:t>
      </w:r>
      <w:r w:rsidRPr="00E61399">
        <w:rPr>
          <w:rFonts w:ascii="Arial" w:hAnsi="Arial" w:cs="Arial"/>
          <w:sz w:val="18"/>
          <w:szCs w:val="18"/>
          <w:lang w:eastAsia="en-AU"/>
        </w:rPr>
        <w:t xml:space="preserve"> comply with the requirements of AS 2648.1.  Under jetty </w:t>
      </w:r>
      <w:proofErr w:type="gramStart"/>
      <w:r w:rsidRPr="00E61399">
        <w:rPr>
          <w:rFonts w:ascii="Arial" w:hAnsi="Arial" w:cs="Arial"/>
          <w:sz w:val="18"/>
          <w:szCs w:val="18"/>
          <w:lang w:eastAsia="en-AU"/>
        </w:rPr>
        <w:t>deck</w:t>
      </w:r>
      <w:proofErr w:type="gramEnd"/>
      <w:r w:rsidRPr="00E61399">
        <w:rPr>
          <w:rFonts w:ascii="Arial" w:hAnsi="Arial" w:cs="Arial"/>
          <w:sz w:val="18"/>
          <w:szCs w:val="18"/>
          <w:lang w:eastAsia="en-AU"/>
        </w:rPr>
        <w:t xml:space="preserve"> conduits </w:t>
      </w:r>
      <w:r w:rsidR="00EF41C9" w:rsidRPr="00E61399">
        <w:rPr>
          <w:rFonts w:ascii="Arial" w:hAnsi="Arial" w:cs="Arial"/>
          <w:sz w:val="18"/>
          <w:szCs w:val="18"/>
          <w:lang w:eastAsia="en-AU"/>
        </w:rPr>
        <w:t>must</w:t>
      </w:r>
      <w:r w:rsidRPr="00E61399">
        <w:rPr>
          <w:rFonts w:ascii="Arial" w:hAnsi="Arial" w:cs="Arial"/>
          <w:sz w:val="18"/>
          <w:szCs w:val="18"/>
          <w:lang w:eastAsia="en-AU"/>
        </w:rPr>
        <w:t xml:space="preserve"> be UV Rated, PVC, colour grey, medium/</w:t>
      </w:r>
      <w:r w:rsidRPr="00E61399">
        <w:rPr>
          <w:rFonts w:ascii="Arial" w:hAnsi="Arial" w:cs="Arial"/>
          <w:color w:val="000000"/>
          <w:sz w:val="18"/>
          <w:szCs w:val="18"/>
          <w:lang w:eastAsia="en-AU"/>
        </w:rPr>
        <w:t>ordinary</w:t>
      </w:r>
      <w:r w:rsidRPr="00E61399">
        <w:rPr>
          <w:rFonts w:ascii="Arial" w:hAnsi="Arial" w:cs="Arial"/>
          <w:sz w:val="18"/>
          <w:szCs w:val="18"/>
          <w:lang w:eastAsia="en-AU"/>
        </w:rPr>
        <w:t xml:space="preserve"> duty rigid conduit with flexible conduit tails for terminations and bends, to AS 2053.</w:t>
      </w: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  <w:lang w:eastAsia="en-AU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  <w:lang w:eastAsia="en-AU"/>
        </w:rPr>
      </w:pPr>
      <w:r w:rsidRPr="00E61399">
        <w:rPr>
          <w:rFonts w:ascii="Arial" w:hAnsi="Arial" w:cs="Arial"/>
          <w:sz w:val="18"/>
          <w:szCs w:val="18"/>
          <w:lang w:eastAsia="en-AU"/>
        </w:rPr>
        <w:t xml:space="preserve">Unless otherwise specified, the minimum size of conduit </w:t>
      </w:r>
      <w:r w:rsidR="00EF41C9" w:rsidRPr="00E61399">
        <w:rPr>
          <w:rFonts w:ascii="Arial" w:hAnsi="Arial" w:cs="Arial"/>
          <w:sz w:val="18"/>
          <w:szCs w:val="18"/>
          <w:lang w:eastAsia="en-AU"/>
        </w:rPr>
        <w:t>must</w:t>
      </w:r>
      <w:r w:rsidRPr="00E61399">
        <w:rPr>
          <w:rFonts w:ascii="Arial" w:hAnsi="Arial" w:cs="Arial"/>
          <w:sz w:val="18"/>
          <w:szCs w:val="18"/>
          <w:lang w:eastAsia="en-AU"/>
        </w:rPr>
        <w:t xml:space="preserve"> be as follows:</w:t>
      </w: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</w:tblGrid>
      <w:tr w:rsidR="00EF1603" w:rsidRPr="00E61399" w:rsidTr="004E314E">
        <w:tc>
          <w:tcPr>
            <w:tcW w:w="3261" w:type="dxa"/>
          </w:tcPr>
          <w:p w:rsidR="00EF1603" w:rsidRPr="00E61399" w:rsidRDefault="00EF1603" w:rsidP="00EF41C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Conduit (under jetty)</w:t>
            </w:r>
          </w:p>
        </w:tc>
        <w:tc>
          <w:tcPr>
            <w:tcW w:w="1417" w:type="dxa"/>
          </w:tcPr>
          <w:p w:rsidR="00EF1603" w:rsidRPr="00E61399" w:rsidRDefault="00EF1603" w:rsidP="00EF41C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32 mm</w:t>
            </w:r>
          </w:p>
        </w:tc>
      </w:tr>
      <w:tr w:rsidR="00EF1603" w:rsidRPr="00E61399" w:rsidTr="004E314E">
        <w:tc>
          <w:tcPr>
            <w:tcW w:w="3261" w:type="dxa"/>
          </w:tcPr>
          <w:p w:rsidR="00EF1603" w:rsidRPr="00E61399" w:rsidRDefault="00EF1603" w:rsidP="00EF41C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Conduit (under</w:t>
            </w:r>
            <w:r w:rsidRPr="00E61399">
              <w:rPr>
                <w:rFonts w:ascii="Arial" w:hAnsi="Arial" w:cs="Arial"/>
                <w:sz w:val="18"/>
                <w:szCs w:val="18"/>
              </w:rPr>
              <w:noBreakHyphen/>
              <w:t>road)</w:t>
            </w:r>
          </w:p>
        </w:tc>
        <w:tc>
          <w:tcPr>
            <w:tcW w:w="1417" w:type="dxa"/>
          </w:tcPr>
          <w:p w:rsidR="00EF1603" w:rsidRPr="00E61399" w:rsidRDefault="00EF1603" w:rsidP="00EF41C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80 mm</w:t>
            </w:r>
          </w:p>
        </w:tc>
      </w:tr>
      <w:tr w:rsidR="00EF1603" w:rsidRPr="00E61399" w:rsidTr="004E314E">
        <w:tc>
          <w:tcPr>
            <w:tcW w:w="3261" w:type="dxa"/>
          </w:tcPr>
          <w:p w:rsidR="00EF1603" w:rsidRPr="00E61399" w:rsidRDefault="00EF1603" w:rsidP="00EF41C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Conduit (general underground)</w:t>
            </w:r>
          </w:p>
        </w:tc>
        <w:tc>
          <w:tcPr>
            <w:tcW w:w="1417" w:type="dxa"/>
          </w:tcPr>
          <w:p w:rsidR="00EF1603" w:rsidRPr="00E61399" w:rsidRDefault="00EF1603" w:rsidP="00EF41C9">
            <w:pPr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1399">
              <w:rPr>
                <w:rFonts w:ascii="Arial" w:hAnsi="Arial" w:cs="Arial"/>
                <w:sz w:val="18"/>
                <w:szCs w:val="18"/>
              </w:rPr>
              <w:t>50 mm.</w:t>
            </w:r>
          </w:p>
        </w:tc>
      </w:tr>
    </w:tbl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Conduit joints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thoroughly cleaned of dirt and grease and burrs removed where any conduit is cut to length, before being cemented together using a solvent cement approved by the conduit manufacturer.</w:t>
      </w: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</w:p>
    <w:p w:rsidR="00EF1603" w:rsidRPr="00E61399" w:rsidRDefault="00EF1603" w:rsidP="00EF41C9">
      <w:pPr>
        <w:jc w:val="left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 xml:space="preserve">Draw cords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installed in all electrical conduits and be continuous and without joins for the full length of the conduit.  A 1 m length "tail"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provided at each end of the draw cord.  Tails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coiled and neatly laid in the relevant area.  Draw cords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be 4 mm diameter polyethylene mono rope with a breaking load of </w:t>
      </w:r>
      <w:proofErr w:type="gramStart"/>
      <w:r w:rsidRPr="00E61399">
        <w:rPr>
          <w:rFonts w:ascii="Arial" w:hAnsi="Arial" w:cs="Arial"/>
          <w:sz w:val="18"/>
          <w:szCs w:val="18"/>
        </w:rPr>
        <w:t>5</w:t>
      </w:r>
      <w:proofErr w:type="gramEnd"/>
      <w:r w:rsidRPr="00E61399">
        <w:rPr>
          <w:rFonts w:ascii="Arial" w:hAnsi="Arial" w:cs="Arial"/>
          <w:sz w:val="18"/>
          <w:szCs w:val="18"/>
        </w:rPr>
        <w:t> </w:t>
      </w:r>
      <w:proofErr w:type="spellStart"/>
      <w:r w:rsidRPr="00E61399">
        <w:rPr>
          <w:rFonts w:ascii="Arial" w:hAnsi="Arial" w:cs="Arial"/>
          <w:sz w:val="18"/>
          <w:szCs w:val="18"/>
        </w:rPr>
        <w:t>kN.</w:t>
      </w:r>
      <w:proofErr w:type="spellEnd"/>
      <w:r w:rsidRPr="00E61399">
        <w:rPr>
          <w:rFonts w:ascii="Arial" w:hAnsi="Arial" w:cs="Arial"/>
          <w:sz w:val="18"/>
          <w:szCs w:val="18"/>
        </w:rPr>
        <w:t xml:space="preserve">  Except in the case of under jetty conduits, draw cords </w:t>
      </w:r>
      <w:r w:rsidR="00EF41C9" w:rsidRPr="00E61399">
        <w:rPr>
          <w:rFonts w:ascii="Arial" w:hAnsi="Arial" w:cs="Arial"/>
          <w:sz w:val="18"/>
          <w:szCs w:val="18"/>
        </w:rPr>
        <w:t>must</w:t>
      </w:r>
      <w:r w:rsidRPr="00E61399">
        <w:rPr>
          <w:rFonts w:ascii="Arial" w:hAnsi="Arial" w:cs="Arial"/>
          <w:sz w:val="18"/>
          <w:szCs w:val="18"/>
        </w:rPr>
        <w:t xml:space="preserve"> remain in the conduit following installation of cables.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 xml:space="preserve">All conduit saddles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must</w:t>
      </w:r>
      <w:r w:rsidRPr="00E61399">
        <w:rPr>
          <w:rFonts w:ascii="Arial" w:hAnsi="Arial" w:cs="Arial"/>
          <w:spacing w:val="-2"/>
          <w:sz w:val="18"/>
          <w:szCs w:val="18"/>
        </w:rPr>
        <w:t xml:space="preserve"> be 316</w:t>
      </w:r>
      <w:r w:rsidR="00380B5B" w:rsidRPr="00E61399">
        <w:rPr>
          <w:rFonts w:ascii="Arial" w:hAnsi="Arial" w:cs="Arial"/>
          <w:spacing w:val="-2"/>
          <w:sz w:val="18"/>
          <w:szCs w:val="18"/>
        </w:rPr>
        <w:t> </w:t>
      </w:r>
      <w:r w:rsidR="00EF41C9" w:rsidRPr="00E61399">
        <w:rPr>
          <w:rFonts w:ascii="Arial" w:hAnsi="Arial" w:cs="Arial"/>
          <w:spacing w:val="-2"/>
          <w:sz w:val="18"/>
          <w:szCs w:val="18"/>
        </w:rPr>
        <w:t>grade Stainless Steel</w:t>
      </w:r>
      <w:r w:rsidRPr="00E61399">
        <w:rPr>
          <w:rFonts w:ascii="Arial" w:hAnsi="Arial" w:cs="Arial"/>
          <w:spacing w:val="-2"/>
          <w:sz w:val="18"/>
          <w:szCs w:val="18"/>
        </w:rPr>
        <w:t>.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b/>
          <w:spacing w:val="-2"/>
          <w:sz w:val="18"/>
          <w:szCs w:val="18"/>
        </w:rPr>
      </w:pPr>
      <w:r w:rsidRPr="00E61399">
        <w:rPr>
          <w:rFonts w:ascii="Arial" w:hAnsi="Arial" w:cs="Arial"/>
          <w:b/>
          <w:spacing w:val="-2"/>
          <w:sz w:val="18"/>
          <w:szCs w:val="18"/>
        </w:rPr>
        <w:t>4.3</w:t>
      </w:r>
      <w:r w:rsidRPr="00E61399">
        <w:rPr>
          <w:rFonts w:ascii="Arial" w:hAnsi="Arial" w:cs="Arial"/>
          <w:b/>
          <w:spacing w:val="-2"/>
          <w:sz w:val="18"/>
          <w:szCs w:val="18"/>
        </w:rPr>
        <w:tab/>
      </w:r>
      <w:r w:rsidRPr="00E61399">
        <w:rPr>
          <w:rFonts w:ascii="Arial" w:hAnsi="Arial" w:cs="Arial"/>
          <w:b/>
          <w:spacing w:val="-2"/>
          <w:sz w:val="18"/>
          <w:szCs w:val="18"/>
          <w:u w:val="single"/>
        </w:rPr>
        <w:t>Lighting</w:t>
      </w:r>
      <w:r w:rsidR="00EF41C9" w:rsidRPr="00E61399">
        <w:rPr>
          <w:rFonts w:ascii="Arial" w:hAnsi="Arial" w:cs="Arial"/>
          <w:b/>
          <w:spacing w:val="-2"/>
          <w:sz w:val="18"/>
          <w:szCs w:val="18"/>
          <w:u w:val="single"/>
        </w:rPr>
        <w:t xml:space="preserve"> and Power Outlets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  <w:r w:rsidRPr="00E61399">
        <w:rPr>
          <w:rFonts w:ascii="Arial" w:hAnsi="Arial" w:cs="Arial"/>
          <w:spacing w:val="-2"/>
          <w:sz w:val="18"/>
          <w:szCs w:val="18"/>
        </w:rPr>
        <w:t xml:space="preserve">The installation of lighting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and / or power outlets (where specified) must</w:t>
      </w:r>
      <w:r w:rsidRPr="00E61399">
        <w:rPr>
          <w:rFonts w:ascii="Arial" w:hAnsi="Arial" w:cs="Arial"/>
          <w:spacing w:val="-2"/>
          <w:sz w:val="18"/>
          <w:szCs w:val="18"/>
        </w:rPr>
        <w:t xml:space="preserve"> be </w:t>
      </w:r>
      <w:r w:rsidR="00EF41C9" w:rsidRPr="00E61399">
        <w:rPr>
          <w:rFonts w:ascii="Arial" w:hAnsi="Arial" w:cs="Arial"/>
          <w:spacing w:val="-2"/>
          <w:sz w:val="18"/>
          <w:szCs w:val="18"/>
        </w:rPr>
        <w:t>in accordance with the drawings or Contract</w:t>
      </w:r>
      <w:r w:rsidRPr="00E61399">
        <w:rPr>
          <w:rFonts w:ascii="Arial" w:hAnsi="Arial" w:cs="Arial"/>
          <w:b/>
          <w:spacing w:val="-2"/>
          <w:sz w:val="18"/>
          <w:szCs w:val="18"/>
        </w:rPr>
        <w:t xml:space="preserve"> Specific Requirements</w:t>
      </w:r>
      <w:r w:rsidRPr="00E61399">
        <w:rPr>
          <w:rFonts w:ascii="Arial" w:hAnsi="Arial" w:cs="Arial"/>
          <w:spacing w:val="-2"/>
          <w:sz w:val="18"/>
          <w:szCs w:val="18"/>
        </w:rPr>
        <w:t>.</w:t>
      </w:r>
    </w:p>
    <w:p w:rsidR="00EF1603" w:rsidRPr="00E61399" w:rsidRDefault="00EF1603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B3202F" w:rsidRPr="00E61399" w:rsidRDefault="00B3202F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B3202F" w:rsidRPr="00E61399" w:rsidRDefault="00B3202F" w:rsidP="00EF41C9">
      <w:pPr>
        <w:tabs>
          <w:tab w:val="left" w:pos="-720"/>
        </w:tabs>
        <w:suppressAutoHyphens/>
        <w:jc w:val="left"/>
        <w:rPr>
          <w:rFonts w:ascii="Arial" w:hAnsi="Arial" w:cs="Arial"/>
          <w:spacing w:val="-2"/>
          <w:sz w:val="18"/>
          <w:szCs w:val="18"/>
        </w:rPr>
      </w:pPr>
    </w:p>
    <w:p w:rsidR="00B3202F" w:rsidRPr="00E61399" w:rsidRDefault="00B3202F" w:rsidP="00055975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  <w:szCs w:val="18"/>
        </w:rPr>
      </w:pPr>
    </w:p>
    <w:p w:rsidR="00F70AF4" w:rsidRPr="00E61399" w:rsidRDefault="00055975" w:rsidP="00036D5B">
      <w:pPr>
        <w:pStyle w:val="TenderText"/>
        <w:jc w:val="center"/>
        <w:rPr>
          <w:rFonts w:ascii="Arial" w:hAnsi="Arial" w:cs="Arial"/>
          <w:sz w:val="18"/>
          <w:szCs w:val="18"/>
        </w:rPr>
      </w:pPr>
      <w:r w:rsidRPr="00E61399">
        <w:rPr>
          <w:rFonts w:ascii="Arial" w:hAnsi="Arial" w:cs="Arial"/>
          <w:sz w:val="18"/>
          <w:szCs w:val="18"/>
        </w:rPr>
        <w:t>__________</w:t>
      </w:r>
    </w:p>
    <w:p w:rsidR="00D17C27" w:rsidRPr="00E61399" w:rsidRDefault="00D17C27" w:rsidP="00D17C27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D17C27" w:rsidRPr="00E61399" w:rsidRDefault="00D17C27" w:rsidP="00D17C27">
      <w:pPr>
        <w:pStyle w:val="TenderText"/>
        <w:jc w:val="left"/>
        <w:rPr>
          <w:rFonts w:ascii="Arial" w:hAnsi="Arial" w:cs="Arial"/>
          <w:sz w:val="18"/>
          <w:szCs w:val="18"/>
        </w:rPr>
      </w:pPr>
    </w:p>
    <w:p w:rsidR="00055975" w:rsidRPr="00E61399" w:rsidRDefault="00055975" w:rsidP="00D17C27">
      <w:pPr>
        <w:jc w:val="left"/>
        <w:rPr>
          <w:rFonts w:ascii="Arial" w:hAnsi="Arial" w:cs="Arial"/>
          <w:sz w:val="18"/>
          <w:szCs w:val="18"/>
        </w:rPr>
        <w:sectPr w:rsidR="00055975" w:rsidRPr="00E61399" w:rsidSect="00B3202F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851" w:right="851" w:bottom="567" w:left="1701" w:header="851" w:footer="567" w:gutter="0"/>
          <w:cols w:space="720"/>
          <w:noEndnote/>
        </w:sectPr>
      </w:pPr>
    </w:p>
    <w:p w:rsidR="00CE52E2" w:rsidRPr="00E61399" w:rsidRDefault="00CE52E2" w:rsidP="00380B5B">
      <w:pPr>
        <w:pStyle w:val="TenderText"/>
        <w:jc w:val="left"/>
        <w:rPr>
          <w:rFonts w:ascii="Arial" w:hAnsi="Arial" w:cs="Arial"/>
          <w:sz w:val="18"/>
          <w:szCs w:val="18"/>
        </w:rPr>
      </w:pPr>
    </w:p>
    <w:sectPr w:rsidR="00CE52E2" w:rsidRPr="00E61399" w:rsidSect="00352554">
      <w:headerReference w:type="default" r:id="rId10"/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25D" w:rsidRDefault="006E025D">
      <w:r>
        <w:separator/>
      </w:r>
    </w:p>
  </w:endnote>
  <w:endnote w:type="continuationSeparator" w:id="0">
    <w:p w:rsidR="006E025D" w:rsidRDefault="006E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03" w:rsidRPr="00BD4B6C" w:rsidRDefault="00EF1603" w:rsidP="00AF76F2">
    <w:pPr>
      <w:pStyle w:val="Footer"/>
      <w:tabs>
        <w:tab w:val="clear" w:pos="4153"/>
        <w:tab w:val="clear" w:pos="8306"/>
        <w:tab w:val="right" w:pos="9356"/>
      </w:tabs>
      <w:rPr>
        <w:sz w:val="18"/>
        <w:szCs w:val="18"/>
      </w:rPr>
    </w:pPr>
  </w:p>
  <w:p w:rsidR="00EF1603" w:rsidRPr="00E61399" w:rsidRDefault="00A20F48" w:rsidP="00AF76F2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E61399">
      <w:rPr>
        <w:rFonts w:ascii="Arial" w:hAnsi="Arial" w:cs="Arial"/>
        <w:sz w:val="18"/>
        <w:szCs w:val="18"/>
      </w:rPr>
      <w:t>DPTI</w:t>
    </w:r>
    <w:r w:rsidR="00EF1603" w:rsidRPr="00E61399">
      <w:rPr>
        <w:rFonts w:ascii="Arial" w:hAnsi="Arial" w:cs="Arial"/>
        <w:sz w:val="18"/>
        <w:szCs w:val="18"/>
      </w:rPr>
      <w:t xml:space="preserve"> XXCxxx</w:t>
    </w:r>
    <w:r w:rsidR="00EF1603" w:rsidRPr="00E61399">
      <w:rPr>
        <w:rFonts w:ascii="Arial" w:hAnsi="Arial" w:cs="Arial"/>
        <w:sz w:val="18"/>
        <w:szCs w:val="18"/>
      </w:rPr>
      <w:tab/>
      <w:t xml:space="preserve">Page </w:t>
    </w:r>
    <w:r w:rsidR="00EF1603" w:rsidRPr="00E61399">
      <w:rPr>
        <w:rStyle w:val="PageNumber"/>
        <w:rFonts w:ascii="Arial" w:hAnsi="Arial" w:cs="Arial"/>
        <w:sz w:val="18"/>
        <w:szCs w:val="18"/>
      </w:rPr>
      <w:fldChar w:fldCharType="begin"/>
    </w:r>
    <w:r w:rsidR="00EF1603" w:rsidRPr="00E6139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EF1603" w:rsidRPr="00E61399">
      <w:rPr>
        <w:rStyle w:val="PageNumber"/>
        <w:rFonts w:ascii="Arial" w:hAnsi="Arial" w:cs="Arial"/>
        <w:sz w:val="18"/>
        <w:szCs w:val="18"/>
      </w:rPr>
      <w:fldChar w:fldCharType="separate"/>
    </w:r>
    <w:r w:rsidR="00E61399">
      <w:rPr>
        <w:rStyle w:val="PageNumber"/>
        <w:rFonts w:ascii="Arial" w:hAnsi="Arial" w:cs="Arial"/>
        <w:noProof/>
        <w:sz w:val="18"/>
        <w:szCs w:val="18"/>
      </w:rPr>
      <w:t>4</w:t>
    </w:r>
    <w:r w:rsidR="00EF1603" w:rsidRPr="00E61399">
      <w:rPr>
        <w:rStyle w:val="PageNumber"/>
        <w:rFonts w:ascii="Arial" w:hAnsi="Arial" w:cs="Arial"/>
        <w:sz w:val="18"/>
        <w:szCs w:val="18"/>
      </w:rPr>
      <w:fldChar w:fldCharType="end"/>
    </w:r>
  </w:p>
  <w:p w:rsidR="00E85B72" w:rsidRPr="00E61399" w:rsidRDefault="00E85B72" w:rsidP="00AF76F2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E61399">
      <w:rPr>
        <w:rStyle w:val="PageNumber"/>
        <w:rFonts w:ascii="Arial" w:hAnsi="Arial" w:cs="Arial"/>
        <w:sz w:val="18"/>
        <w:szCs w:val="18"/>
      </w:rPr>
      <w:t>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25D" w:rsidRDefault="006E025D">
      <w:r>
        <w:separator/>
      </w:r>
    </w:p>
  </w:footnote>
  <w:footnote w:type="continuationSeparator" w:id="0">
    <w:p w:rsidR="006E025D" w:rsidRDefault="006E0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03" w:rsidRPr="00E61399" w:rsidRDefault="00EF1603" w:rsidP="00065D9E">
    <w:pPr>
      <w:tabs>
        <w:tab w:val="right" w:pos="9356"/>
      </w:tabs>
      <w:rPr>
        <w:rFonts w:ascii="Arial" w:hAnsi="Arial" w:cs="Arial"/>
        <w:sz w:val="18"/>
        <w:szCs w:val="18"/>
      </w:rPr>
    </w:pPr>
    <w:r w:rsidRPr="00E61399">
      <w:rPr>
        <w:rFonts w:ascii="Arial" w:hAnsi="Arial" w:cs="Arial"/>
        <w:sz w:val="18"/>
        <w:szCs w:val="18"/>
      </w:rPr>
      <w:t xml:space="preserve">Edition: </w:t>
    </w:r>
    <w:r w:rsidR="00EF41C9" w:rsidRPr="00E61399">
      <w:rPr>
        <w:rFonts w:ascii="Arial" w:hAnsi="Arial" w:cs="Arial"/>
        <w:sz w:val="18"/>
        <w:szCs w:val="18"/>
      </w:rPr>
      <w:t xml:space="preserve">September </w:t>
    </w:r>
    <w:r w:rsidR="00091F36" w:rsidRPr="00E61399">
      <w:rPr>
        <w:rFonts w:ascii="Arial" w:hAnsi="Arial" w:cs="Arial"/>
        <w:sz w:val="18"/>
        <w:szCs w:val="18"/>
      </w:rPr>
      <w:t>201</w:t>
    </w:r>
    <w:r w:rsidR="00EF41C9" w:rsidRPr="00E61399">
      <w:rPr>
        <w:rFonts w:ascii="Arial" w:hAnsi="Arial" w:cs="Arial"/>
        <w:sz w:val="18"/>
        <w:szCs w:val="18"/>
      </w:rPr>
      <w:t>6</w:t>
    </w:r>
    <w:r w:rsidRPr="00E61399">
      <w:rPr>
        <w:rFonts w:ascii="Arial" w:hAnsi="Arial" w:cs="Arial"/>
        <w:sz w:val="18"/>
        <w:szCs w:val="18"/>
      </w:rPr>
      <w:tab/>
      <w:t xml:space="preserve">Specification: Part </w:t>
    </w:r>
    <w:r w:rsidR="009F650E" w:rsidRPr="00E61399">
      <w:rPr>
        <w:rFonts w:ascii="Arial" w:hAnsi="Arial" w:cs="Arial"/>
        <w:sz w:val="18"/>
        <w:szCs w:val="18"/>
      </w:rPr>
      <w:t>W50</w:t>
    </w:r>
    <w:r w:rsidRPr="00E61399">
      <w:rPr>
        <w:rFonts w:ascii="Arial" w:hAnsi="Arial" w:cs="Arial"/>
        <w:sz w:val="18"/>
        <w:szCs w:val="18"/>
      </w:rPr>
      <w:t xml:space="preserve"> Sundries</w:t>
    </w:r>
  </w:p>
  <w:p w:rsidR="00EF1603" w:rsidRPr="00065D9E" w:rsidRDefault="00EF1603">
    <w:pPr>
      <w:tabs>
        <w:tab w:val="right" w:pos="9356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03" w:rsidRDefault="00EF1603">
    <w:pPr>
      <w:tabs>
        <w:tab w:val="right" w:pos="9356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D1989"/>
    <w:multiLevelType w:val="hybridMultilevel"/>
    <w:tmpl w:val="E1A62EA2"/>
    <w:lvl w:ilvl="0" w:tplc="6F44EC20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6F"/>
    <w:rsid w:val="00036D5B"/>
    <w:rsid w:val="00055975"/>
    <w:rsid w:val="00060314"/>
    <w:rsid w:val="000606AD"/>
    <w:rsid w:val="00065D9E"/>
    <w:rsid w:val="00091F36"/>
    <w:rsid w:val="00094055"/>
    <w:rsid w:val="000C0C6A"/>
    <w:rsid w:val="000E5FFD"/>
    <w:rsid w:val="000F245E"/>
    <w:rsid w:val="00160AE0"/>
    <w:rsid w:val="00161DB2"/>
    <w:rsid w:val="00177768"/>
    <w:rsid w:val="001D79CE"/>
    <w:rsid w:val="002076AB"/>
    <w:rsid w:val="00234DC3"/>
    <w:rsid w:val="002B6F61"/>
    <w:rsid w:val="0031030E"/>
    <w:rsid w:val="00343072"/>
    <w:rsid w:val="00352554"/>
    <w:rsid w:val="00367F54"/>
    <w:rsid w:val="003778D2"/>
    <w:rsid w:val="00380B5B"/>
    <w:rsid w:val="003A7FB3"/>
    <w:rsid w:val="003C3521"/>
    <w:rsid w:val="003C3527"/>
    <w:rsid w:val="003D566F"/>
    <w:rsid w:val="00401DF5"/>
    <w:rsid w:val="00435988"/>
    <w:rsid w:val="00435AB1"/>
    <w:rsid w:val="00467DE9"/>
    <w:rsid w:val="004B3B73"/>
    <w:rsid w:val="004E314E"/>
    <w:rsid w:val="005647FA"/>
    <w:rsid w:val="0057238D"/>
    <w:rsid w:val="00684FDA"/>
    <w:rsid w:val="00685A31"/>
    <w:rsid w:val="00692F4C"/>
    <w:rsid w:val="006944F2"/>
    <w:rsid w:val="006A0F70"/>
    <w:rsid w:val="006D2B0F"/>
    <w:rsid w:val="006E025D"/>
    <w:rsid w:val="006E3DB0"/>
    <w:rsid w:val="007E039E"/>
    <w:rsid w:val="008214A6"/>
    <w:rsid w:val="00821CE1"/>
    <w:rsid w:val="00843147"/>
    <w:rsid w:val="008D659E"/>
    <w:rsid w:val="008F74F2"/>
    <w:rsid w:val="00994DD2"/>
    <w:rsid w:val="009C5A4F"/>
    <w:rsid w:val="009E7407"/>
    <w:rsid w:val="009F650E"/>
    <w:rsid w:val="00A01849"/>
    <w:rsid w:val="00A1661A"/>
    <w:rsid w:val="00A20F48"/>
    <w:rsid w:val="00A33911"/>
    <w:rsid w:val="00A7683C"/>
    <w:rsid w:val="00AA7CA4"/>
    <w:rsid w:val="00AF76F2"/>
    <w:rsid w:val="00B1112E"/>
    <w:rsid w:val="00B11794"/>
    <w:rsid w:val="00B3202F"/>
    <w:rsid w:val="00B5688F"/>
    <w:rsid w:val="00B700C6"/>
    <w:rsid w:val="00BD4B6C"/>
    <w:rsid w:val="00BE6C02"/>
    <w:rsid w:val="00C26FBF"/>
    <w:rsid w:val="00C372BD"/>
    <w:rsid w:val="00C777A5"/>
    <w:rsid w:val="00C924D3"/>
    <w:rsid w:val="00CA6CF5"/>
    <w:rsid w:val="00CD3AC8"/>
    <w:rsid w:val="00CE52E2"/>
    <w:rsid w:val="00D1540D"/>
    <w:rsid w:val="00D17C27"/>
    <w:rsid w:val="00D23F98"/>
    <w:rsid w:val="00D3419C"/>
    <w:rsid w:val="00D50FFE"/>
    <w:rsid w:val="00D71095"/>
    <w:rsid w:val="00D85372"/>
    <w:rsid w:val="00DC6715"/>
    <w:rsid w:val="00E43E5A"/>
    <w:rsid w:val="00E61399"/>
    <w:rsid w:val="00E6306B"/>
    <w:rsid w:val="00E85B72"/>
    <w:rsid w:val="00EA1197"/>
    <w:rsid w:val="00EE48F3"/>
    <w:rsid w:val="00EF1603"/>
    <w:rsid w:val="00EF41C9"/>
    <w:rsid w:val="00F054C7"/>
    <w:rsid w:val="00F146C9"/>
    <w:rsid w:val="00F23EB5"/>
    <w:rsid w:val="00F70AF4"/>
    <w:rsid w:val="00F76664"/>
    <w:rsid w:val="00F86486"/>
    <w:rsid w:val="00FB7394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21654-3F64-4158-8A16-E8692626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66F"/>
    <w:pPr>
      <w:jc w:val="both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56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566F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rsid w:val="003D566F"/>
    <w:pPr>
      <w:suppressAutoHyphens/>
    </w:pPr>
  </w:style>
  <w:style w:type="character" w:styleId="PageNumber">
    <w:name w:val="page number"/>
    <w:basedOn w:val="DefaultParagraphFont"/>
    <w:rsid w:val="00BD4B6C"/>
  </w:style>
  <w:style w:type="paragraph" w:customStyle="1" w:styleId="CharCharCharChar">
    <w:name w:val="Char Char Char Char"/>
    <w:aliases w:val="Char"/>
    <w:basedOn w:val="Normal"/>
    <w:rsid w:val="00467DE9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basedOn w:val="DefaultParagraphFont"/>
    <w:rsid w:val="00EF160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F1603"/>
    <w:rPr>
      <w:sz w:val="16"/>
      <w:szCs w:val="16"/>
    </w:rPr>
  </w:style>
  <w:style w:type="paragraph" w:styleId="CommentText">
    <w:name w:val="annotation text"/>
    <w:basedOn w:val="Normal"/>
    <w:semiHidden/>
    <w:rsid w:val="00EF1603"/>
    <w:rPr>
      <w:sz w:val="20"/>
    </w:rPr>
  </w:style>
  <w:style w:type="paragraph" w:styleId="BalloonText">
    <w:name w:val="Balloon Text"/>
    <w:basedOn w:val="Normal"/>
    <w:semiHidden/>
    <w:rsid w:val="00EF16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1F36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9F65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pti.sa.gov.au/documents/marine_facilitie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1158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7270</CharactersWithSpaces>
  <SharedDoc>false</SharedDoc>
  <HLinks>
    <vt:vector size="6" baseType="variant">
      <vt:variant>
        <vt:i4>3932162</vt:i4>
      </vt:variant>
      <vt:variant>
        <vt:i4>0</vt:i4>
      </vt:variant>
      <vt:variant>
        <vt:i4>0</vt:i4>
      </vt:variant>
      <vt:variant>
        <vt:i4>5</vt:i4>
      </vt:variant>
      <vt:variant>
        <vt:lpwstr>http://www.dpti.sa.gov.au/standards/marine_facilities2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DPTI</dc:creator>
  <cp:keywords/>
  <dc:description/>
  <cp:lastModifiedBy>DPTI</cp:lastModifiedBy>
  <cp:revision>3</cp:revision>
  <dcterms:created xsi:type="dcterms:W3CDTF">2016-09-07T22:47:00Z</dcterms:created>
  <dcterms:modified xsi:type="dcterms:W3CDTF">2017-01-06T04:46:00Z</dcterms:modified>
</cp:coreProperties>
</file>