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0E" w:rsidRPr="00520B31" w:rsidRDefault="00F2300E" w:rsidP="00F2300E">
      <w:pPr>
        <w:spacing w:after="120"/>
        <w:rPr>
          <w:rFonts w:cs="Arial"/>
          <w:color w:val="548DD4"/>
          <w:sz w:val="28"/>
          <w:szCs w:val="28"/>
        </w:rPr>
      </w:pPr>
      <w:bookmarkStart w:id="0" w:name="_GoBack"/>
      <w:bookmarkEnd w:id="0"/>
      <w:r w:rsidRPr="00520B31">
        <w:rPr>
          <w:rFonts w:cs="Arial"/>
          <w:color w:val="548DD4"/>
          <w:sz w:val="28"/>
          <w:szCs w:val="28"/>
        </w:rPr>
        <w:t xml:space="preserve">PURPOSE </w:t>
      </w:r>
    </w:p>
    <w:p w:rsidR="001E08E6" w:rsidRPr="009560C4" w:rsidRDefault="001E08E6" w:rsidP="007613F5">
      <w:pPr>
        <w:spacing w:line="276" w:lineRule="auto"/>
      </w:pPr>
      <w:r w:rsidRPr="009560C4">
        <w:t>This document summarises:</w:t>
      </w:r>
    </w:p>
    <w:p w:rsidR="001E08E6" w:rsidRPr="009560C4" w:rsidRDefault="001E08E6" w:rsidP="00B04754">
      <w:pPr>
        <w:numPr>
          <w:ilvl w:val="0"/>
          <w:numId w:val="11"/>
        </w:numPr>
        <w:tabs>
          <w:tab w:val="clear" w:pos="360"/>
        </w:tabs>
        <w:spacing w:line="276" w:lineRule="auto"/>
        <w:ind w:left="284" w:hanging="284"/>
      </w:pPr>
      <w:r w:rsidRPr="009560C4">
        <w:t>the classification of different types of procurement, and</w:t>
      </w:r>
    </w:p>
    <w:p w:rsidR="001E08E6" w:rsidRDefault="001E08E6" w:rsidP="00B04754">
      <w:pPr>
        <w:numPr>
          <w:ilvl w:val="0"/>
          <w:numId w:val="11"/>
        </w:numPr>
        <w:tabs>
          <w:tab w:val="clear" w:pos="360"/>
        </w:tabs>
        <w:spacing w:line="276" w:lineRule="auto"/>
        <w:ind w:left="284" w:hanging="284"/>
      </w:pPr>
      <w:r w:rsidRPr="009560C4">
        <w:t>definitions of terms commonly used in procurement</w:t>
      </w:r>
    </w:p>
    <w:p w:rsidR="007613F5" w:rsidRPr="009560C4" w:rsidRDefault="007613F5" w:rsidP="00007CF7">
      <w:pPr>
        <w:spacing w:line="276" w:lineRule="auto"/>
      </w:pPr>
    </w:p>
    <w:p w:rsidR="001E08E6" w:rsidRPr="009560C4" w:rsidRDefault="001E08E6" w:rsidP="007613F5">
      <w:pPr>
        <w:spacing w:line="276" w:lineRule="auto"/>
      </w:pPr>
      <w:r w:rsidRPr="009560C4">
        <w:t>The classification of the procurement type affect</w:t>
      </w:r>
      <w:r w:rsidR="00C9329F">
        <w:t>s</w:t>
      </w:r>
      <w:r w:rsidRPr="009560C4">
        <w:t xml:space="preserve"> the procurement processes </w:t>
      </w:r>
      <w:r w:rsidR="002D4795">
        <w:t>us</w:t>
      </w:r>
      <w:r w:rsidRPr="009560C4">
        <w:t xml:space="preserve">ed and the approvals required. There may be subtle differences when classifications are determined for </w:t>
      </w:r>
      <w:r w:rsidR="002D4795">
        <w:t>reporting or legal purposes</w:t>
      </w:r>
      <w:r w:rsidRPr="009560C4">
        <w:t>.</w:t>
      </w:r>
    </w:p>
    <w:p w:rsidR="001E08E6" w:rsidRPr="009560C4" w:rsidRDefault="001E08E6" w:rsidP="007613F5">
      <w:pPr>
        <w:pStyle w:val="Heading6"/>
        <w:spacing w:line="276" w:lineRule="auto"/>
      </w:pPr>
    </w:p>
    <w:p w:rsidR="001E08E6" w:rsidRPr="009560C4" w:rsidRDefault="001E08E6" w:rsidP="007613F5">
      <w:pPr>
        <w:spacing w:line="276" w:lineRule="auto"/>
      </w:pPr>
      <w:r w:rsidRPr="009560C4">
        <w:t xml:space="preserve">For approvals and authorisations, refer to </w:t>
      </w:r>
      <w:hyperlink r:id="rId8" w:history="1">
        <w:r w:rsidRPr="002D4795">
          <w:rPr>
            <w:rStyle w:val="Hyperlink"/>
          </w:rPr>
          <w:t>PR100</w:t>
        </w:r>
      </w:hyperlink>
      <w:r w:rsidRPr="009560C4">
        <w:t xml:space="preserve"> “Authorisations Summary” or </w:t>
      </w:r>
      <w:hyperlink r:id="rId9" w:history="1">
        <w:r w:rsidRPr="00DE4978">
          <w:rPr>
            <w:rStyle w:val="Hyperlink"/>
          </w:rPr>
          <w:t>DP001</w:t>
        </w:r>
        <w:r w:rsidR="00DE4978" w:rsidRPr="00DE4978">
          <w:rPr>
            <w:rStyle w:val="Hyperlink"/>
          </w:rPr>
          <w:t xml:space="preserve"> (eGADs)</w:t>
        </w:r>
      </w:hyperlink>
      <w:r w:rsidRPr="009560C4">
        <w:t>.</w:t>
      </w:r>
    </w:p>
    <w:p w:rsidR="001E08E6" w:rsidRDefault="001E08E6" w:rsidP="007613F5">
      <w:pPr>
        <w:spacing w:line="276" w:lineRule="auto"/>
      </w:pPr>
    </w:p>
    <w:p w:rsidR="00F2300E" w:rsidRPr="00520B31" w:rsidRDefault="00F2300E" w:rsidP="00F2300E">
      <w:pPr>
        <w:rPr>
          <w:rFonts w:cs="Arial"/>
          <w:color w:val="548DD4"/>
          <w:sz w:val="28"/>
          <w:szCs w:val="28"/>
        </w:rPr>
      </w:pPr>
      <w:r w:rsidRPr="00520B31">
        <w:rPr>
          <w:rFonts w:cs="Arial"/>
          <w:color w:val="548DD4"/>
          <w:sz w:val="28"/>
          <w:szCs w:val="28"/>
        </w:rPr>
        <w:t>DEFINITIONS</w:t>
      </w:r>
    </w:p>
    <w:p w:rsidR="001E08E6" w:rsidRPr="009560C4" w:rsidRDefault="001E08E6" w:rsidP="007613F5">
      <w:pPr>
        <w:pStyle w:val="Heading1"/>
        <w:spacing w:line="276" w:lineRule="auto"/>
      </w:pPr>
      <w:r w:rsidRPr="009560C4">
        <w:t>1</w:t>
      </w:r>
      <w:r w:rsidRPr="009560C4">
        <w:tab/>
      </w:r>
      <w:bookmarkStart w:id="1" w:name="classification"/>
      <w:r w:rsidRPr="009560C4">
        <w:t>PROCUREMENT CLASSIFICATION</w:t>
      </w:r>
      <w:bookmarkEnd w:id="1"/>
    </w:p>
    <w:p w:rsidR="001E08E6" w:rsidRPr="009560C4" w:rsidRDefault="001E08E6" w:rsidP="007613F5">
      <w:pPr>
        <w:spacing w:line="276" w:lineRule="auto"/>
      </w:pPr>
    </w:p>
    <w:p w:rsidR="001E08E6" w:rsidRPr="009560C4" w:rsidRDefault="001E08E6" w:rsidP="007613F5">
      <w:pPr>
        <w:pStyle w:val="Heading1"/>
        <w:spacing w:line="276" w:lineRule="auto"/>
      </w:pPr>
      <w:r w:rsidRPr="009560C4">
        <w:t>1.1</w:t>
      </w:r>
      <w:r w:rsidRPr="009560C4">
        <w:tab/>
      </w:r>
      <w:bookmarkStart w:id="2" w:name="a"/>
      <w:r w:rsidRPr="009560C4">
        <w:t>GOODS, SERVICES</w:t>
      </w:r>
      <w:bookmarkEnd w:id="2"/>
      <w:r>
        <w:t xml:space="preserve"> OR CONSTRUCTION WORK</w:t>
      </w:r>
      <w:r w:rsidRPr="009560C4">
        <w:t>?</w:t>
      </w:r>
    </w:p>
    <w:p w:rsidR="001E08E6" w:rsidRPr="009560C4" w:rsidRDefault="001E08E6" w:rsidP="007613F5">
      <w:pPr>
        <w:spacing w:line="276" w:lineRule="auto"/>
      </w:pPr>
      <w:r w:rsidRPr="009560C4">
        <w:t xml:space="preserve">At the highest level, all Government procurement is classified into </w:t>
      </w:r>
      <w:r>
        <w:t>construction</w:t>
      </w:r>
      <w:r w:rsidRPr="009560C4">
        <w:t xml:space="preserve">, goods </w:t>
      </w:r>
      <w:r>
        <w:t>or</w:t>
      </w:r>
      <w:r w:rsidRPr="009560C4">
        <w:t xml:space="preserve"> services contracts. </w:t>
      </w:r>
    </w:p>
    <w:p w:rsidR="001E08E6" w:rsidRPr="009560C4" w:rsidRDefault="001E08E6" w:rsidP="007613F5">
      <w:pPr>
        <w:spacing w:line="276" w:lineRule="auto"/>
      </w:pPr>
    </w:p>
    <w:p w:rsidR="001E08E6" w:rsidRPr="009560C4" w:rsidRDefault="001E08E6" w:rsidP="007613F5">
      <w:pPr>
        <w:spacing w:line="276" w:lineRule="auto"/>
      </w:pPr>
      <w:r w:rsidRPr="009560C4">
        <w:t>"</w:t>
      </w:r>
      <w:r w:rsidRPr="00EF3722">
        <w:t>Goods”</w:t>
      </w:r>
      <w:r w:rsidRPr="009560C4">
        <w:t xml:space="preserve"> mean any movable property and any object attached to or forming part of land that is capable of being severed for the purposes of acquisition or disposal.</w:t>
      </w:r>
      <w:r w:rsidR="00007CF7">
        <w:t xml:space="preserve"> </w:t>
      </w:r>
    </w:p>
    <w:p w:rsidR="001E08E6" w:rsidRPr="009560C4" w:rsidRDefault="001E08E6" w:rsidP="007613F5">
      <w:pPr>
        <w:spacing w:line="276" w:lineRule="auto"/>
      </w:pPr>
    </w:p>
    <w:p w:rsidR="001E08E6" w:rsidRPr="009560C4" w:rsidRDefault="001E08E6" w:rsidP="007613F5">
      <w:pPr>
        <w:spacing w:line="276" w:lineRule="auto"/>
      </w:pPr>
      <w:r w:rsidRPr="009560C4">
        <w:t>"</w:t>
      </w:r>
      <w:r w:rsidRPr="00EF3722">
        <w:t>Construction Work</w:t>
      </w:r>
      <w:r w:rsidRPr="000B4E11">
        <w:t>”</w:t>
      </w:r>
      <w:r>
        <w:t xml:space="preserve"> </w:t>
      </w:r>
      <w:r w:rsidRPr="009560C4">
        <w:t xml:space="preserve">means the construction of any building or structure or any repairs or improvements or other physical changes to any building, structure or land (and includes goods &amp; services in conjunction with </w:t>
      </w:r>
      <w:r>
        <w:t>Construction Wor</w:t>
      </w:r>
      <w:r w:rsidR="007613F5">
        <w:t>k).</w:t>
      </w:r>
    </w:p>
    <w:p w:rsidR="001E08E6" w:rsidRPr="009560C4" w:rsidRDefault="001E08E6" w:rsidP="007613F5">
      <w:pPr>
        <w:spacing w:line="276" w:lineRule="auto"/>
      </w:pPr>
    </w:p>
    <w:p w:rsidR="001E08E6" w:rsidRPr="009560C4" w:rsidRDefault="001E08E6" w:rsidP="007613F5">
      <w:pPr>
        <w:spacing w:line="276" w:lineRule="auto"/>
      </w:pPr>
      <w:r w:rsidRPr="00EF3722">
        <w:t>“Services”</w:t>
      </w:r>
      <w:r w:rsidRPr="009560C4">
        <w:t xml:space="preserve"> refers to procurement not included in the above definitions.</w:t>
      </w:r>
    </w:p>
    <w:p w:rsidR="001E08E6" w:rsidRDefault="00AC782D" w:rsidP="007613F5">
      <w:pPr>
        <w:spacing w:line="276" w:lineRule="auto"/>
      </w:pPr>
      <w:hyperlink r:id="rId10" w:history="1">
        <w:r w:rsidR="001E08E6" w:rsidRPr="007613F5">
          <w:rPr>
            <w:rStyle w:val="Hyperlink"/>
          </w:rPr>
          <w:t>Parliamentary Committees Act</w:t>
        </w:r>
      </w:hyperlink>
    </w:p>
    <w:p w:rsidR="00D66CB9" w:rsidRPr="009560C4" w:rsidRDefault="00AC782D" w:rsidP="007613F5">
      <w:pPr>
        <w:spacing w:line="276" w:lineRule="auto"/>
      </w:pPr>
      <w:hyperlink r:id="rId11" w:history="1">
        <w:r w:rsidR="00D66CB9" w:rsidRPr="009560C4">
          <w:rPr>
            <w:rStyle w:val="Hyperlink"/>
          </w:rPr>
          <w:t>State Procurement Act</w:t>
        </w:r>
      </w:hyperlink>
    </w:p>
    <w:p w:rsidR="00562427" w:rsidRDefault="00562427" w:rsidP="007613F5">
      <w:pPr>
        <w:pStyle w:val="Footer"/>
        <w:tabs>
          <w:tab w:val="clear" w:pos="4153"/>
          <w:tab w:val="clear" w:pos="8306"/>
        </w:tabs>
        <w:spacing w:line="276" w:lineRule="auto"/>
        <w:rPr>
          <w:b/>
        </w:rPr>
      </w:pPr>
    </w:p>
    <w:p w:rsidR="001E08E6" w:rsidRPr="009560C4" w:rsidRDefault="001E08E6" w:rsidP="007613F5">
      <w:pPr>
        <w:pStyle w:val="Footer"/>
        <w:tabs>
          <w:tab w:val="clear" w:pos="4153"/>
          <w:tab w:val="clear" w:pos="8306"/>
        </w:tabs>
        <w:spacing w:line="276" w:lineRule="auto"/>
        <w:rPr>
          <w:b/>
        </w:rPr>
      </w:pPr>
      <w:r w:rsidRPr="009560C4">
        <w:rPr>
          <w:b/>
        </w:rPr>
        <w:t>1.2</w:t>
      </w:r>
      <w:r w:rsidRPr="009560C4">
        <w:rPr>
          <w:b/>
        </w:rPr>
        <w:tab/>
      </w:r>
      <w:bookmarkStart w:id="3" w:name="services"/>
      <w:r w:rsidRPr="009560C4">
        <w:rPr>
          <w:b/>
        </w:rPr>
        <w:t>SERVICE CONTRACTS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2660"/>
        <w:gridCol w:w="2660"/>
        <w:gridCol w:w="2658"/>
      </w:tblGrid>
      <w:tr w:rsidR="0001677F" w:rsidRPr="009560C4" w:rsidTr="00AD325A">
        <w:trPr>
          <w:trHeight w:val="597"/>
          <w:tblHeader/>
        </w:trPr>
        <w:tc>
          <w:tcPr>
            <w:tcW w:w="857" w:type="pct"/>
            <w:shd w:val="clear" w:color="auto" w:fill="FFFF00"/>
          </w:tcPr>
          <w:p w:rsidR="0001677F" w:rsidRPr="009560C4" w:rsidRDefault="0001677F" w:rsidP="00AD325A">
            <w:pPr>
              <w:spacing w:line="276" w:lineRule="auto"/>
              <w:jc w:val="center"/>
              <w:rPr>
                <w:rFonts w:cs="Arial"/>
                <w:b/>
                <w:sz w:val="18"/>
                <w:szCs w:val="18"/>
              </w:rPr>
            </w:pPr>
            <w:bookmarkStart w:id="4" w:name="_Hlk498005269"/>
            <w:r>
              <w:rPr>
                <w:rFonts w:cs="Arial"/>
                <w:b/>
                <w:sz w:val="18"/>
                <w:szCs w:val="18"/>
              </w:rPr>
              <w:t>Contract / Consultant Type</w:t>
            </w:r>
          </w:p>
        </w:tc>
        <w:tc>
          <w:tcPr>
            <w:tcW w:w="1381" w:type="pct"/>
            <w:shd w:val="clear" w:color="auto" w:fill="FFFF00"/>
          </w:tcPr>
          <w:p w:rsidR="0001677F" w:rsidRPr="009560C4" w:rsidRDefault="0001677F" w:rsidP="00AD325A">
            <w:pPr>
              <w:spacing w:line="276" w:lineRule="auto"/>
              <w:jc w:val="center"/>
              <w:rPr>
                <w:rFonts w:cs="Arial"/>
                <w:b/>
                <w:sz w:val="18"/>
                <w:szCs w:val="18"/>
              </w:rPr>
            </w:pPr>
            <w:r>
              <w:rPr>
                <w:rFonts w:cs="Arial"/>
                <w:b/>
                <w:sz w:val="18"/>
                <w:szCs w:val="18"/>
              </w:rPr>
              <w:t>1 Consultancies</w:t>
            </w:r>
          </w:p>
        </w:tc>
        <w:tc>
          <w:tcPr>
            <w:tcW w:w="1381" w:type="pct"/>
            <w:shd w:val="clear" w:color="auto" w:fill="FFFF00"/>
          </w:tcPr>
          <w:p w:rsidR="0001677F" w:rsidRPr="009560C4" w:rsidRDefault="0001677F" w:rsidP="00AD325A">
            <w:pPr>
              <w:spacing w:line="276" w:lineRule="auto"/>
              <w:jc w:val="center"/>
              <w:rPr>
                <w:rFonts w:cs="Arial"/>
                <w:b/>
                <w:sz w:val="18"/>
                <w:szCs w:val="18"/>
              </w:rPr>
            </w:pPr>
            <w:r>
              <w:rPr>
                <w:rFonts w:cs="Arial"/>
                <w:b/>
                <w:sz w:val="18"/>
                <w:szCs w:val="18"/>
              </w:rPr>
              <w:t>2 Contract for Labour Services</w:t>
            </w:r>
          </w:p>
        </w:tc>
        <w:tc>
          <w:tcPr>
            <w:tcW w:w="1380" w:type="pct"/>
            <w:shd w:val="clear" w:color="auto" w:fill="FFFF00"/>
          </w:tcPr>
          <w:p w:rsidR="0001677F" w:rsidRPr="009560C4" w:rsidRDefault="0001677F" w:rsidP="00AD325A">
            <w:pPr>
              <w:spacing w:line="276" w:lineRule="auto"/>
              <w:jc w:val="center"/>
              <w:rPr>
                <w:rFonts w:cs="Arial"/>
                <w:b/>
                <w:sz w:val="18"/>
                <w:szCs w:val="18"/>
              </w:rPr>
            </w:pPr>
            <w:r>
              <w:rPr>
                <w:rFonts w:cs="Arial"/>
                <w:b/>
                <w:sz w:val="18"/>
                <w:szCs w:val="18"/>
              </w:rPr>
              <w:t>3 Contract for Services - General</w:t>
            </w:r>
          </w:p>
        </w:tc>
      </w:tr>
      <w:tr w:rsidR="0001677F" w:rsidRPr="009560C4" w:rsidTr="00AD325A">
        <w:trPr>
          <w:trHeight w:val="80"/>
        </w:trPr>
        <w:tc>
          <w:tcPr>
            <w:tcW w:w="857" w:type="pct"/>
            <w:shd w:val="clear" w:color="auto" w:fill="FFFF00"/>
          </w:tcPr>
          <w:p w:rsidR="0001677F" w:rsidRPr="009560C4" w:rsidRDefault="0001677F" w:rsidP="00AD325A">
            <w:pPr>
              <w:spacing w:line="276" w:lineRule="auto"/>
              <w:rPr>
                <w:rFonts w:cs="Arial"/>
                <w:b/>
                <w:sz w:val="18"/>
                <w:szCs w:val="18"/>
              </w:rPr>
            </w:pPr>
            <w:r>
              <w:rPr>
                <w:rFonts w:cs="Arial"/>
                <w:b/>
                <w:sz w:val="18"/>
                <w:szCs w:val="18"/>
              </w:rPr>
              <w:t>Exercise of Control</w:t>
            </w:r>
          </w:p>
        </w:tc>
        <w:tc>
          <w:tcPr>
            <w:tcW w:w="1381" w:type="pct"/>
          </w:tcPr>
          <w:p w:rsidR="0001677F" w:rsidRPr="009560C4" w:rsidRDefault="0001677F" w:rsidP="00AD325A">
            <w:pPr>
              <w:spacing w:line="276" w:lineRule="auto"/>
              <w:rPr>
                <w:rFonts w:cs="Arial"/>
                <w:sz w:val="18"/>
                <w:szCs w:val="18"/>
              </w:rPr>
            </w:pPr>
            <w:r w:rsidRPr="009560C4">
              <w:rPr>
                <w:rFonts w:cs="Arial"/>
                <w:snapToGrid w:val="0"/>
                <w:sz w:val="18"/>
                <w:szCs w:val="18"/>
              </w:rPr>
              <w:t xml:space="preserve">No direction is provided from </w:t>
            </w:r>
            <w:r>
              <w:rPr>
                <w:rFonts w:cs="Arial"/>
                <w:snapToGrid w:val="0"/>
                <w:sz w:val="18"/>
                <w:szCs w:val="18"/>
              </w:rPr>
              <w:t>DPTI</w:t>
            </w:r>
            <w:r w:rsidRPr="009560C4">
              <w:rPr>
                <w:rFonts w:cs="Arial"/>
                <w:snapToGrid w:val="0"/>
                <w:sz w:val="18"/>
                <w:szCs w:val="18"/>
              </w:rPr>
              <w:t xml:space="preserve"> as to the way the work is performed.</w:t>
            </w:r>
          </w:p>
        </w:tc>
        <w:tc>
          <w:tcPr>
            <w:tcW w:w="1381" w:type="pct"/>
          </w:tcPr>
          <w:p w:rsidR="0001677F" w:rsidRPr="009560C4" w:rsidRDefault="0001677F" w:rsidP="00AD325A">
            <w:pPr>
              <w:spacing w:line="276" w:lineRule="auto"/>
              <w:rPr>
                <w:rFonts w:cs="Arial"/>
                <w:sz w:val="18"/>
                <w:szCs w:val="18"/>
              </w:rPr>
            </w:pPr>
            <w:r>
              <w:rPr>
                <w:rFonts w:cs="Arial"/>
                <w:sz w:val="18"/>
                <w:szCs w:val="18"/>
              </w:rPr>
              <w:t>DPTI</w:t>
            </w:r>
            <w:r w:rsidRPr="009560C4">
              <w:rPr>
                <w:rFonts w:cs="Arial"/>
                <w:sz w:val="18"/>
                <w:szCs w:val="18"/>
              </w:rPr>
              <w:t xml:space="preserve"> provides direction to the contractor and controls how tasks will be performed.</w:t>
            </w:r>
          </w:p>
        </w:tc>
        <w:tc>
          <w:tcPr>
            <w:tcW w:w="1380" w:type="pct"/>
          </w:tcPr>
          <w:p w:rsidR="0001677F" w:rsidRPr="009560C4" w:rsidRDefault="0001677F" w:rsidP="00AD325A">
            <w:pPr>
              <w:spacing w:line="276" w:lineRule="auto"/>
              <w:rPr>
                <w:rFonts w:cs="Arial"/>
                <w:sz w:val="18"/>
                <w:szCs w:val="18"/>
              </w:rPr>
            </w:pPr>
            <w:r w:rsidRPr="009560C4">
              <w:rPr>
                <w:rFonts w:cs="Arial"/>
                <w:snapToGrid w:val="0"/>
                <w:sz w:val="18"/>
                <w:szCs w:val="18"/>
              </w:rPr>
              <w:t xml:space="preserve">No direction is provided from </w:t>
            </w:r>
            <w:r>
              <w:rPr>
                <w:rFonts w:cs="Arial"/>
                <w:snapToGrid w:val="0"/>
                <w:sz w:val="18"/>
                <w:szCs w:val="18"/>
              </w:rPr>
              <w:t>DPTI</w:t>
            </w:r>
            <w:r w:rsidRPr="009560C4">
              <w:rPr>
                <w:rFonts w:cs="Arial"/>
                <w:snapToGrid w:val="0"/>
                <w:sz w:val="18"/>
                <w:szCs w:val="18"/>
              </w:rPr>
              <w:t xml:space="preserve"> as to the way the work is performed.</w:t>
            </w:r>
          </w:p>
        </w:tc>
      </w:tr>
      <w:tr w:rsidR="0001677F" w:rsidRPr="009560C4" w:rsidTr="00AD325A">
        <w:trPr>
          <w:trHeight w:val="80"/>
        </w:trPr>
        <w:tc>
          <w:tcPr>
            <w:tcW w:w="857" w:type="pct"/>
            <w:shd w:val="clear" w:color="auto" w:fill="FFFF00"/>
          </w:tcPr>
          <w:p w:rsidR="0001677F" w:rsidRPr="009560C4" w:rsidRDefault="0001677F" w:rsidP="00AD325A">
            <w:pPr>
              <w:spacing w:line="276" w:lineRule="auto"/>
              <w:rPr>
                <w:rFonts w:cs="Arial"/>
                <w:b/>
                <w:sz w:val="18"/>
                <w:szCs w:val="18"/>
              </w:rPr>
            </w:pPr>
            <w:r>
              <w:rPr>
                <w:rFonts w:cs="Arial"/>
                <w:b/>
                <w:sz w:val="18"/>
                <w:szCs w:val="18"/>
              </w:rPr>
              <w:t>Examples</w:t>
            </w:r>
          </w:p>
        </w:tc>
        <w:tc>
          <w:tcPr>
            <w:tcW w:w="1381" w:type="pct"/>
          </w:tcPr>
          <w:p w:rsidR="0001677F" w:rsidRPr="009560C4" w:rsidRDefault="0001677F" w:rsidP="00AD325A">
            <w:pPr>
              <w:spacing w:line="276" w:lineRule="auto"/>
              <w:rPr>
                <w:rFonts w:cs="Arial"/>
                <w:sz w:val="18"/>
                <w:szCs w:val="18"/>
              </w:rPr>
            </w:pPr>
            <w:r w:rsidRPr="009560C4">
              <w:rPr>
                <w:rFonts w:cs="Arial"/>
                <w:sz w:val="18"/>
                <w:szCs w:val="18"/>
              </w:rPr>
              <w:t>Providing advice on Public/Private Partnerships and Private Sector Funding.</w:t>
            </w:r>
          </w:p>
          <w:p w:rsidR="0001677F" w:rsidRPr="009560C4" w:rsidRDefault="0001677F" w:rsidP="00AD325A">
            <w:pPr>
              <w:pStyle w:val="BodyText3"/>
              <w:spacing w:line="276" w:lineRule="auto"/>
              <w:rPr>
                <w:rFonts w:cs="Arial"/>
                <w:snapToGrid/>
                <w:sz w:val="18"/>
                <w:szCs w:val="18"/>
              </w:rPr>
            </w:pPr>
            <w:r w:rsidRPr="009560C4">
              <w:rPr>
                <w:rFonts w:cs="Arial"/>
                <w:snapToGrid/>
                <w:sz w:val="18"/>
                <w:szCs w:val="18"/>
              </w:rPr>
              <w:t>Review &amp; advice on Major organisational restructures.</w:t>
            </w:r>
            <w:r>
              <w:rPr>
                <w:rFonts w:cs="Arial"/>
                <w:snapToGrid/>
                <w:sz w:val="18"/>
                <w:szCs w:val="18"/>
              </w:rPr>
              <w:t xml:space="preserve"> </w:t>
            </w:r>
            <w:r w:rsidRPr="009560C4">
              <w:rPr>
                <w:rFonts w:cs="Arial"/>
                <w:snapToGrid/>
                <w:sz w:val="18"/>
                <w:szCs w:val="18"/>
              </w:rPr>
              <w:t xml:space="preserve"> </w:t>
            </w:r>
          </w:p>
          <w:p w:rsidR="0001677F" w:rsidRPr="009560C4" w:rsidRDefault="0001677F" w:rsidP="00AD325A">
            <w:pPr>
              <w:spacing w:line="276" w:lineRule="auto"/>
              <w:rPr>
                <w:rFonts w:cs="Arial"/>
                <w:sz w:val="18"/>
                <w:szCs w:val="18"/>
              </w:rPr>
            </w:pPr>
            <w:r w:rsidRPr="009560C4">
              <w:rPr>
                <w:rFonts w:cs="Arial"/>
                <w:sz w:val="18"/>
                <w:szCs w:val="18"/>
              </w:rPr>
              <w:lastRenderedPageBreak/>
              <w:t>Investigation and advice regarding business process re-engineering.</w:t>
            </w:r>
          </w:p>
        </w:tc>
        <w:tc>
          <w:tcPr>
            <w:tcW w:w="1381" w:type="pct"/>
          </w:tcPr>
          <w:p w:rsidR="0001677F" w:rsidRPr="009560C4" w:rsidRDefault="0001677F" w:rsidP="00AD325A">
            <w:pPr>
              <w:spacing w:line="276" w:lineRule="auto"/>
              <w:rPr>
                <w:rFonts w:cs="Arial"/>
                <w:sz w:val="18"/>
                <w:szCs w:val="18"/>
              </w:rPr>
            </w:pPr>
            <w:r w:rsidRPr="009560C4">
              <w:rPr>
                <w:rFonts w:cs="Arial"/>
                <w:sz w:val="18"/>
                <w:szCs w:val="18"/>
              </w:rPr>
              <w:lastRenderedPageBreak/>
              <w:t>Temporary staff agencies providing an administrative staff, IT staff, maintenance workers, etc for fixed periods.</w:t>
            </w:r>
          </w:p>
          <w:p w:rsidR="0001677F" w:rsidRPr="009560C4" w:rsidRDefault="0001677F" w:rsidP="00AD325A">
            <w:pPr>
              <w:spacing w:line="276" w:lineRule="auto"/>
              <w:rPr>
                <w:rFonts w:cs="Arial"/>
                <w:sz w:val="18"/>
                <w:szCs w:val="18"/>
              </w:rPr>
            </w:pPr>
            <w:r w:rsidRPr="009560C4">
              <w:rPr>
                <w:rFonts w:cs="Arial"/>
                <w:sz w:val="18"/>
                <w:szCs w:val="18"/>
              </w:rPr>
              <w:lastRenderedPageBreak/>
              <w:t xml:space="preserve">Self employed engineer providing short term professional services under the direction of a </w:t>
            </w:r>
            <w:r>
              <w:rPr>
                <w:rFonts w:cs="Arial"/>
                <w:sz w:val="18"/>
                <w:szCs w:val="18"/>
              </w:rPr>
              <w:t>DPTI</w:t>
            </w:r>
            <w:r w:rsidRPr="009560C4">
              <w:rPr>
                <w:rFonts w:cs="Arial"/>
                <w:sz w:val="18"/>
                <w:szCs w:val="18"/>
              </w:rPr>
              <w:t xml:space="preserve"> Manager.</w:t>
            </w:r>
          </w:p>
        </w:tc>
        <w:tc>
          <w:tcPr>
            <w:tcW w:w="1380" w:type="pct"/>
          </w:tcPr>
          <w:p w:rsidR="0001677F" w:rsidRPr="009560C4" w:rsidRDefault="0001677F" w:rsidP="00AD325A">
            <w:pPr>
              <w:spacing w:line="276" w:lineRule="auto"/>
              <w:rPr>
                <w:rFonts w:cs="Arial"/>
                <w:sz w:val="18"/>
                <w:szCs w:val="18"/>
              </w:rPr>
            </w:pPr>
            <w:r w:rsidRPr="009560C4">
              <w:rPr>
                <w:rFonts w:cs="Arial"/>
                <w:sz w:val="18"/>
                <w:szCs w:val="18"/>
              </w:rPr>
              <w:lastRenderedPageBreak/>
              <w:t>Cleaning Services</w:t>
            </w:r>
          </w:p>
          <w:p w:rsidR="0001677F" w:rsidRPr="009560C4" w:rsidRDefault="0001677F" w:rsidP="00AD325A">
            <w:pPr>
              <w:spacing w:line="276" w:lineRule="auto"/>
              <w:rPr>
                <w:rFonts w:cs="Arial"/>
                <w:sz w:val="18"/>
                <w:szCs w:val="18"/>
              </w:rPr>
            </w:pPr>
            <w:r w:rsidRPr="009560C4">
              <w:rPr>
                <w:rFonts w:cs="Arial"/>
                <w:sz w:val="18"/>
                <w:szCs w:val="18"/>
              </w:rPr>
              <w:t>Professional Services</w:t>
            </w:r>
          </w:p>
          <w:p w:rsidR="0001677F" w:rsidRPr="009560C4" w:rsidRDefault="0001677F" w:rsidP="00AD325A">
            <w:pPr>
              <w:spacing w:line="276" w:lineRule="auto"/>
              <w:rPr>
                <w:rFonts w:cs="Arial"/>
                <w:sz w:val="18"/>
                <w:szCs w:val="18"/>
              </w:rPr>
            </w:pPr>
            <w:r w:rsidRPr="009560C4">
              <w:rPr>
                <w:rFonts w:cs="Arial"/>
                <w:sz w:val="18"/>
                <w:szCs w:val="18"/>
              </w:rPr>
              <w:t>Property Management</w:t>
            </w:r>
          </w:p>
          <w:p w:rsidR="0001677F" w:rsidRPr="009560C4" w:rsidRDefault="0001677F" w:rsidP="00AD325A">
            <w:pPr>
              <w:spacing w:line="276" w:lineRule="auto"/>
              <w:rPr>
                <w:rFonts w:cs="Arial"/>
                <w:sz w:val="18"/>
                <w:szCs w:val="18"/>
              </w:rPr>
            </w:pPr>
            <w:r w:rsidRPr="009560C4">
              <w:rPr>
                <w:rFonts w:cs="Arial"/>
                <w:sz w:val="18"/>
                <w:szCs w:val="18"/>
              </w:rPr>
              <w:t>Security Services</w:t>
            </w:r>
          </w:p>
          <w:p w:rsidR="0001677F" w:rsidRPr="009560C4" w:rsidRDefault="0001677F" w:rsidP="00AD325A">
            <w:pPr>
              <w:spacing w:line="276" w:lineRule="auto"/>
              <w:rPr>
                <w:rFonts w:cs="Arial"/>
                <w:sz w:val="18"/>
                <w:szCs w:val="18"/>
              </w:rPr>
            </w:pPr>
            <w:r w:rsidRPr="009560C4">
              <w:rPr>
                <w:rFonts w:cs="Arial"/>
                <w:sz w:val="18"/>
                <w:szCs w:val="18"/>
              </w:rPr>
              <w:t>Window Cleaning Services</w:t>
            </w:r>
          </w:p>
          <w:p w:rsidR="0001677F" w:rsidRPr="009560C4" w:rsidRDefault="0001677F" w:rsidP="00AD325A">
            <w:pPr>
              <w:spacing w:line="276" w:lineRule="auto"/>
              <w:rPr>
                <w:rFonts w:cs="Arial"/>
                <w:sz w:val="18"/>
                <w:szCs w:val="18"/>
              </w:rPr>
            </w:pPr>
            <w:r w:rsidRPr="009560C4">
              <w:rPr>
                <w:rFonts w:cs="Arial"/>
                <w:sz w:val="18"/>
                <w:szCs w:val="18"/>
              </w:rPr>
              <w:lastRenderedPageBreak/>
              <w:t>Plant Hire Contract</w:t>
            </w:r>
          </w:p>
          <w:p w:rsidR="0001677F" w:rsidRPr="009560C4" w:rsidRDefault="0001677F" w:rsidP="00AD325A">
            <w:pPr>
              <w:spacing w:line="276" w:lineRule="auto"/>
              <w:rPr>
                <w:rFonts w:cs="Arial"/>
                <w:sz w:val="18"/>
                <w:szCs w:val="18"/>
              </w:rPr>
            </w:pPr>
            <w:r w:rsidRPr="009560C4">
              <w:rPr>
                <w:rFonts w:cs="Arial"/>
                <w:sz w:val="18"/>
                <w:szCs w:val="18"/>
              </w:rPr>
              <w:t>Records Management Services</w:t>
            </w:r>
          </w:p>
          <w:p w:rsidR="0001677F" w:rsidRPr="009560C4" w:rsidRDefault="0001677F" w:rsidP="00AD325A">
            <w:pPr>
              <w:spacing w:line="276" w:lineRule="auto"/>
              <w:rPr>
                <w:rFonts w:cs="Arial"/>
                <w:sz w:val="18"/>
                <w:szCs w:val="18"/>
              </w:rPr>
            </w:pPr>
            <w:r w:rsidRPr="009560C4">
              <w:rPr>
                <w:rFonts w:cs="Arial"/>
                <w:sz w:val="18"/>
                <w:szCs w:val="18"/>
              </w:rPr>
              <w:t>Ferry Operations</w:t>
            </w:r>
          </w:p>
          <w:p w:rsidR="0001677F" w:rsidRPr="009560C4" w:rsidRDefault="0001677F" w:rsidP="00AD325A">
            <w:pPr>
              <w:spacing w:line="276" w:lineRule="auto"/>
              <w:rPr>
                <w:rFonts w:cs="Arial"/>
                <w:sz w:val="18"/>
                <w:szCs w:val="18"/>
              </w:rPr>
            </w:pPr>
            <w:r w:rsidRPr="009560C4">
              <w:rPr>
                <w:rFonts w:cs="Arial"/>
                <w:sz w:val="18"/>
                <w:szCs w:val="18"/>
              </w:rPr>
              <w:t>Telecommunications Services</w:t>
            </w:r>
          </w:p>
          <w:p w:rsidR="0001677F" w:rsidRPr="009560C4" w:rsidRDefault="0001677F" w:rsidP="00AD325A">
            <w:pPr>
              <w:spacing w:line="276" w:lineRule="auto"/>
              <w:rPr>
                <w:rFonts w:cs="Arial"/>
                <w:sz w:val="18"/>
                <w:szCs w:val="18"/>
              </w:rPr>
            </w:pPr>
            <w:r w:rsidRPr="009560C4">
              <w:rPr>
                <w:rFonts w:cs="Arial"/>
                <w:sz w:val="18"/>
                <w:szCs w:val="18"/>
              </w:rPr>
              <w:t xml:space="preserve">Photographic Licences </w:t>
            </w:r>
          </w:p>
        </w:tc>
      </w:tr>
    </w:tbl>
    <w:bookmarkEnd w:id="4"/>
    <w:p w:rsidR="00F36289" w:rsidRPr="009560C4" w:rsidRDefault="00EF259B" w:rsidP="00F36289">
      <w:pPr>
        <w:pStyle w:val="Heading1"/>
        <w:spacing w:line="276" w:lineRule="auto"/>
      </w:pPr>
      <w:r>
        <w:lastRenderedPageBreak/>
        <w:t>1.2.1</w:t>
      </w:r>
      <w:r w:rsidR="00F36289" w:rsidRPr="009560C4">
        <w:tab/>
      </w:r>
      <w:bookmarkStart w:id="5" w:name="b"/>
      <w:r w:rsidR="00F36289" w:rsidRPr="009560C4">
        <w:t>Consultancies</w:t>
      </w:r>
      <w:bookmarkEnd w:id="5"/>
    </w:p>
    <w:p w:rsidR="00F36289" w:rsidRPr="009560C4" w:rsidRDefault="00F36289" w:rsidP="00F36289">
      <w:pPr>
        <w:spacing w:line="276" w:lineRule="auto"/>
      </w:pPr>
      <w:r w:rsidRPr="009560C4">
        <w:t>To be classified as a consultancy, all of the following criteria must be met</w:t>
      </w:r>
      <w:r w:rsidRPr="009560C4">
        <w:rPr>
          <w:rStyle w:val="FootnoteReference"/>
        </w:rPr>
        <w:footnoteReference w:id="1"/>
      </w:r>
      <w:r w:rsidRPr="009560C4">
        <w:t>:</w:t>
      </w:r>
    </w:p>
    <w:p w:rsidR="00F36289" w:rsidRPr="009560C4" w:rsidRDefault="00F36289" w:rsidP="00F36289">
      <w:pPr>
        <w:spacing w:line="276" w:lineRule="auto"/>
        <w:rPr>
          <w:rFonts w:cs="Arial"/>
        </w:rPr>
      </w:pPr>
    </w:p>
    <w:p w:rsidR="00F36289" w:rsidRPr="009560C4" w:rsidRDefault="00F36289" w:rsidP="00B04754">
      <w:pPr>
        <w:numPr>
          <w:ilvl w:val="0"/>
          <w:numId w:val="14"/>
        </w:numPr>
        <w:tabs>
          <w:tab w:val="clear" w:pos="720"/>
        </w:tabs>
        <w:autoSpaceDE w:val="0"/>
        <w:autoSpaceDN w:val="0"/>
        <w:adjustRightInd w:val="0"/>
        <w:spacing w:line="276" w:lineRule="auto"/>
        <w:ind w:left="284" w:hanging="284"/>
        <w:rPr>
          <w:rFonts w:cs="Arial"/>
          <w:lang w:val="en-US"/>
        </w:rPr>
      </w:pPr>
      <w:r w:rsidRPr="009560C4">
        <w:rPr>
          <w:rFonts w:cs="Arial"/>
          <w:lang w:val="en-US"/>
        </w:rPr>
        <w:t xml:space="preserve">the company </w:t>
      </w:r>
      <w:r>
        <w:rPr>
          <w:rFonts w:cs="Arial"/>
          <w:lang w:val="en-US"/>
        </w:rPr>
        <w:t xml:space="preserve">or entity </w:t>
      </w:r>
      <w:r w:rsidRPr="009560C4">
        <w:rPr>
          <w:rFonts w:cs="Arial"/>
          <w:lang w:val="en-US"/>
        </w:rPr>
        <w:t xml:space="preserve">must be engaged for a specified period to carry out a task that requires specialist skills and knowledge </w:t>
      </w:r>
      <w:r w:rsidRPr="009560C4">
        <w:rPr>
          <w:rFonts w:cs="Arial"/>
          <w:b/>
          <w:bCs/>
          <w:i/>
          <w:iCs/>
          <w:lang w:val="en-US"/>
        </w:rPr>
        <w:t xml:space="preserve">not available </w:t>
      </w:r>
      <w:r w:rsidRPr="009560C4">
        <w:rPr>
          <w:rFonts w:cs="Arial"/>
          <w:lang w:val="en-US"/>
        </w:rPr>
        <w:t xml:space="preserve">in </w:t>
      </w:r>
      <w:r>
        <w:rPr>
          <w:rFonts w:cs="Arial"/>
          <w:lang w:val="en-US"/>
        </w:rPr>
        <w:t>DPTI;</w:t>
      </w:r>
      <w:r w:rsidRPr="009560C4">
        <w:rPr>
          <w:rFonts w:cs="Arial"/>
          <w:lang w:val="en-US"/>
        </w:rPr>
        <w:t xml:space="preserve"> </w:t>
      </w:r>
    </w:p>
    <w:p w:rsidR="00F36289" w:rsidRPr="009560C4" w:rsidRDefault="00BD07B0" w:rsidP="00B04754">
      <w:pPr>
        <w:numPr>
          <w:ilvl w:val="0"/>
          <w:numId w:val="14"/>
        </w:numPr>
        <w:tabs>
          <w:tab w:val="clear" w:pos="720"/>
        </w:tabs>
        <w:autoSpaceDE w:val="0"/>
        <w:autoSpaceDN w:val="0"/>
        <w:adjustRightInd w:val="0"/>
        <w:spacing w:line="276" w:lineRule="auto"/>
        <w:ind w:left="284" w:hanging="284"/>
        <w:rPr>
          <w:rFonts w:cs="Arial"/>
          <w:lang w:val="en-US"/>
        </w:rPr>
      </w:pPr>
      <w:r w:rsidRPr="00BD07B0">
        <w:rPr>
          <w:rFonts w:cs="Arial"/>
          <w:b/>
          <w:i/>
          <w:lang w:val="en-US"/>
        </w:rPr>
        <w:t>DPTI will not direct</w:t>
      </w:r>
      <w:r>
        <w:rPr>
          <w:rFonts w:cs="Arial"/>
          <w:lang w:val="en-US"/>
        </w:rPr>
        <w:t xml:space="preserve"> the consultancy in the way the task is performed</w:t>
      </w:r>
      <w:r w:rsidR="00F36289">
        <w:rPr>
          <w:rFonts w:cs="Arial"/>
          <w:lang w:val="en-US"/>
        </w:rPr>
        <w:t>;</w:t>
      </w:r>
      <w:r w:rsidR="00F36289" w:rsidRPr="009560C4">
        <w:rPr>
          <w:rFonts w:cs="Arial"/>
          <w:lang w:val="en-US"/>
        </w:rPr>
        <w:t xml:space="preserve"> and </w:t>
      </w:r>
    </w:p>
    <w:p w:rsidR="00F36289" w:rsidRPr="009560C4" w:rsidRDefault="00F36289" w:rsidP="00B04754">
      <w:pPr>
        <w:numPr>
          <w:ilvl w:val="0"/>
          <w:numId w:val="14"/>
        </w:numPr>
        <w:tabs>
          <w:tab w:val="clear" w:pos="720"/>
        </w:tabs>
        <w:autoSpaceDE w:val="0"/>
        <w:autoSpaceDN w:val="0"/>
        <w:adjustRightInd w:val="0"/>
        <w:spacing w:line="276" w:lineRule="auto"/>
        <w:ind w:left="284" w:hanging="284"/>
        <w:rPr>
          <w:rFonts w:cs="Arial"/>
          <w:lang w:val="en-US"/>
        </w:rPr>
      </w:pPr>
      <w:r w:rsidRPr="009560C4">
        <w:rPr>
          <w:rFonts w:cs="Arial"/>
          <w:lang w:val="en-US"/>
        </w:rPr>
        <w:t xml:space="preserve">the engagement of a person under normal circumstances is not a feasible alternative. </w:t>
      </w:r>
    </w:p>
    <w:p w:rsidR="00F36289" w:rsidRPr="009560C4" w:rsidRDefault="00F36289" w:rsidP="00F36289">
      <w:pPr>
        <w:spacing w:line="276" w:lineRule="auto"/>
        <w:rPr>
          <w:rFonts w:cs="Arial"/>
        </w:rPr>
      </w:pPr>
    </w:p>
    <w:p w:rsidR="00F36289" w:rsidRPr="009560C4" w:rsidRDefault="00007CF7" w:rsidP="00F36289">
      <w:pPr>
        <w:spacing w:line="276" w:lineRule="auto"/>
      </w:pPr>
      <w:r>
        <w:rPr>
          <w:rFonts w:cs="Arial"/>
        </w:rPr>
        <w:t xml:space="preserve">Refer to </w:t>
      </w:r>
      <w:hyperlink r:id="rId12" w:history="1">
        <w:r w:rsidRPr="00B04754">
          <w:rPr>
            <w:rStyle w:val="Hyperlink"/>
            <w:rFonts w:cs="Arial"/>
          </w:rPr>
          <w:t>PR101</w:t>
        </w:r>
      </w:hyperlink>
      <w:r>
        <w:rPr>
          <w:rFonts w:cs="Arial"/>
        </w:rPr>
        <w:t xml:space="preserve"> for requirements on consultancy contract disclosure and r</w:t>
      </w:r>
      <w:r w:rsidR="00AB047D">
        <w:rPr>
          <w:rFonts w:cs="Arial"/>
        </w:rPr>
        <w:t>eport any contract requiring dis</w:t>
      </w:r>
      <w:r>
        <w:rPr>
          <w:rFonts w:cs="Arial"/>
        </w:rPr>
        <w:t xml:space="preserve">closure to the </w:t>
      </w:r>
      <w:r w:rsidR="00AB047D">
        <w:rPr>
          <w:rFonts w:cs="Arial"/>
        </w:rPr>
        <w:t>Contract Formation group in Procurement &amp; Contracting</w:t>
      </w:r>
      <w:r>
        <w:rPr>
          <w:rFonts w:cs="Arial"/>
        </w:rPr>
        <w:t>.</w:t>
      </w:r>
    </w:p>
    <w:p w:rsidR="00F36289" w:rsidRPr="009560C4" w:rsidRDefault="00F36289" w:rsidP="00F36289">
      <w:pPr>
        <w:spacing w:line="276" w:lineRule="auto"/>
      </w:pPr>
    </w:p>
    <w:p w:rsidR="00F36289" w:rsidRPr="009560C4" w:rsidRDefault="00F36289" w:rsidP="00F36289">
      <w:pPr>
        <w:spacing w:line="276" w:lineRule="auto"/>
      </w:pPr>
      <w:r w:rsidRPr="009560C4">
        <w:t>Note that this definition is only used for the purposes of reporting within government</w:t>
      </w:r>
      <w:r w:rsidR="00BD07B0">
        <w:t>, looking at</w:t>
      </w:r>
      <w:r w:rsidRPr="009560C4">
        <w:t xml:space="preserve"> the nature of services being provided</w:t>
      </w:r>
      <w:r w:rsidR="00BD07B0">
        <w:t xml:space="preserve"> (i.e. a service provider calling themselves a consultant are not necessarily a consultancy for the purposes of these definitions)</w:t>
      </w:r>
      <w:r w:rsidRPr="009560C4">
        <w:t xml:space="preserve">. Similarly, Australian Standard 4122, General Conditions of Contract for Consultancies, is unlikely to be used for the type of contract considered to be a consultancy under the above definition. General Conditions of Contract for Services will normally be used in these instances. </w:t>
      </w:r>
    </w:p>
    <w:p w:rsidR="00F36289" w:rsidRPr="009560C4" w:rsidRDefault="00F36289" w:rsidP="00F36289">
      <w:pPr>
        <w:spacing w:line="276" w:lineRule="auto"/>
      </w:pPr>
    </w:p>
    <w:p w:rsidR="00F36289" w:rsidRPr="009560C4" w:rsidRDefault="00EF259B" w:rsidP="00F36289">
      <w:pPr>
        <w:pStyle w:val="Heading1"/>
        <w:spacing w:line="276" w:lineRule="auto"/>
      </w:pPr>
      <w:r>
        <w:t>1.2.2</w:t>
      </w:r>
      <w:r w:rsidR="00F36289" w:rsidRPr="009560C4">
        <w:tab/>
      </w:r>
      <w:r w:rsidR="00F36289">
        <w:t>Contract for Labour Services</w:t>
      </w:r>
    </w:p>
    <w:p w:rsidR="00F36289" w:rsidRPr="009560C4" w:rsidRDefault="00F36289" w:rsidP="00F36289">
      <w:pPr>
        <w:spacing w:line="276" w:lineRule="auto"/>
      </w:pPr>
      <w:r>
        <w:t>DPTI</w:t>
      </w:r>
      <w:r w:rsidRPr="009560C4">
        <w:t xml:space="preserve"> provides direction to the contractor and controls how tasks </w:t>
      </w:r>
      <w:r w:rsidR="00605962">
        <w:t>are</w:t>
      </w:r>
      <w:r w:rsidRPr="009560C4">
        <w:t xml:space="preserve"> performed.</w:t>
      </w:r>
      <w:r w:rsidR="00007CF7">
        <w:t xml:space="preserve"> </w:t>
      </w:r>
      <w:r>
        <w:t>DPTI</w:t>
      </w:r>
      <w:r w:rsidRPr="009560C4">
        <w:t xml:space="preserve"> must ensure that the</w:t>
      </w:r>
      <w:r w:rsidR="00605962">
        <w:t>se contracts</w:t>
      </w:r>
      <w:r w:rsidRPr="009560C4">
        <w:t xml:space="preserve"> are “Contract</w:t>
      </w:r>
      <w:r w:rsidR="00605962">
        <w:t>s</w:t>
      </w:r>
      <w:r w:rsidRPr="009560C4">
        <w:t xml:space="preserve"> for Services”, and do not inadvertently create a Contract of Employment</w:t>
      </w:r>
      <w:r w:rsidRPr="009560C4">
        <w:rPr>
          <w:rStyle w:val="FootnoteReference"/>
        </w:rPr>
        <w:footnoteReference w:id="2"/>
      </w:r>
      <w:r w:rsidR="008D6C8A">
        <w:t>.</w:t>
      </w:r>
      <w:r w:rsidRPr="009560C4">
        <w:t xml:space="preserve"> It is important that both parties understand the nature of the contract, because it will affect responsibility for issues such </w:t>
      </w:r>
      <w:r>
        <w:t>WHS</w:t>
      </w:r>
      <w:r w:rsidRPr="009560C4">
        <w:t>, industrial relations (</w:t>
      </w:r>
      <w:r w:rsidR="00004A64" w:rsidRPr="009560C4">
        <w:t>e.g.</w:t>
      </w:r>
      <w:r w:rsidRPr="009560C4">
        <w:t xml:space="preserve"> leave entitlement) and liability towards third parties. </w:t>
      </w:r>
    </w:p>
    <w:p w:rsidR="00F36289" w:rsidRPr="009560C4" w:rsidRDefault="00F36289" w:rsidP="00F36289">
      <w:pPr>
        <w:spacing w:line="276" w:lineRule="auto"/>
      </w:pPr>
    </w:p>
    <w:p w:rsidR="00F2300E" w:rsidRDefault="00F2300E">
      <w:pPr>
        <w:rPr>
          <w:u w:val="single"/>
        </w:rPr>
      </w:pPr>
      <w:r>
        <w:rPr>
          <w:b/>
          <w:u w:val="single"/>
        </w:rPr>
        <w:br w:type="page"/>
      </w:r>
    </w:p>
    <w:p w:rsidR="00F36289" w:rsidRDefault="00F36289" w:rsidP="00F36289">
      <w:pPr>
        <w:pStyle w:val="Heading1"/>
        <w:spacing w:line="276" w:lineRule="auto"/>
        <w:ind w:left="426" w:hanging="426"/>
        <w:rPr>
          <w:b w:val="0"/>
          <w:u w:val="single"/>
        </w:rPr>
      </w:pPr>
      <w:r w:rsidRPr="009560C4">
        <w:rPr>
          <w:b w:val="0"/>
          <w:u w:val="single"/>
        </w:rPr>
        <w:lastRenderedPageBreak/>
        <w:t xml:space="preserve">Responsibility for </w:t>
      </w:r>
      <w:r>
        <w:rPr>
          <w:b w:val="0"/>
          <w:u w:val="single"/>
        </w:rPr>
        <w:t>WHS</w:t>
      </w:r>
    </w:p>
    <w:p w:rsidR="00004A64" w:rsidRPr="00004A64" w:rsidRDefault="00004A64" w:rsidP="00004A64"/>
    <w:p w:rsidR="00F36289" w:rsidRPr="009560C4" w:rsidRDefault="00F36289" w:rsidP="00BD07B0">
      <w:pPr>
        <w:spacing w:line="276" w:lineRule="auto"/>
        <w:ind w:right="471"/>
      </w:pPr>
      <w:r w:rsidRPr="00BC150C">
        <w:t xml:space="preserve">The </w:t>
      </w:r>
      <w:hyperlink r:id="rId13" w:history="1">
        <w:r w:rsidRPr="00BC150C">
          <w:rPr>
            <w:rStyle w:val="Hyperlink"/>
            <w:rFonts w:cs="Arial"/>
          </w:rPr>
          <w:t>Work Health and Safety Act 2012 (SA)</w:t>
        </w:r>
      </w:hyperlink>
      <w:r w:rsidR="00007CF7">
        <w:rPr>
          <w:rFonts w:cs="Arial"/>
          <w:i/>
        </w:rPr>
        <w:t xml:space="preserve"> </w:t>
      </w:r>
      <w:r w:rsidRPr="009560C4">
        <w:t>will take precedence over any contract wording or management practice.</w:t>
      </w:r>
      <w:r w:rsidR="00007CF7">
        <w:t xml:space="preserve"> </w:t>
      </w:r>
      <w:r w:rsidRPr="009560C4">
        <w:t xml:space="preserve">The Act will deem </w:t>
      </w:r>
      <w:r>
        <w:t>DPTI</w:t>
      </w:r>
      <w:r w:rsidRPr="009560C4">
        <w:t xml:space="preserve"> to be responsible </w:t>
      </w:r>
      <w:r>
        <w:t xml:space="preserve">for WHS if it controls </w:t>
      </w:r>
      <w:r w:rsidRPr="009560C4">
        <w:t>the methods of work</w:t>
      </w:r>
      <w:r w:rsidRPr="00BC150C">
        <w:t xml:space="preserve"> </w:t>
      </w:r>
      <w:r>
        <w:t xml:space="preserve">or </w:t>
      </w:r>
      <w:r w:rsidRPr="009560C4">
        <w:t>the workplace</w:t>
      </w:r>
      <w:r w:rsidR="00DF45DF">
        <w:t>.</w:t>
      </w:r>
    </w:p>
    <w:p w:rsidR="00F36289" w:rsidRPr="009560C4" w:rsidRDefault="00F36289" w:rsidP="00BD07B0">
      <w:pPr>
        <w:spacing w:line="276" w:lineRule="auto"/>
        <w:ind w:hanging="426"/>
      </w:pPr>
    </w:p>
    <w:p w:rsidR="00F36289" w:rsidRPr="009560C4" w:rsidRDefault="00F36289" w:rsidP="00BD07B0">
      <w:pPr>
        <w:spacing w:line="276" w:lineRule="auto"/>
        <w:rPr>
          <w:b/>
          <w:i/>
        </w:rPr>
      </w:pPr>
      <w:r w:rsidRPr="009560C4">
        <w:rPr>
          <w:b/>
          <w:i/>
        </w:rPr>
        <w:t xml:space="preserve">If either of the above applies, </w:t>
      </w:r>
      <w:r>
        <w:rPr>
          <w:b/>
          <w:i/>
        </w:rPr>
        <w:t>DPTI</w:t>
      </w:r>
      <w:r w:rsidRPr="009560C4">
        <w:rPr>
          <w:b/>
          <w:i/>
        </w:rPr>
        <w:t xml:space="preserve"> </w:t>
      </w:r>
      <w:r>
        <w:rPr>
          <w:b/>
          <w:i/>
        </w:rPr>
        <w:t>WHS</w:t>
      </w:r>
      <w:r w:rsidRPr="009560C4">
        <w:rPr>
          <w:b/>
          <w:i/>
        </w:rPr>
        <w:t xml:space="preserve"> Policies &amp; Procedures must be followed.</w:t>
      </w:r>
      <w:r w:rsidR="00007CF7">
        <w:rPr>
          <w:b/>
          <w:i/>
        </w:rPr>
        <w:t xml:space="preserve"> </w:t>
      </w:r>
      <w:r w:rsidRPr="009560C4">
        <w:rPr>
          <w:b/>
          <w:i/>
        </w:rPr>
        <w:t>This would usually apply to temporary staff / labour hire.</w:t>
      </w:r>
    </w:p>
    <w:p w:rsidR="00F36289" w:rsidRPr="009560C4" w:rsidRDefault="00F36289" w:rsidP="00BD07B0">
      <w:pPr>
        <w:spacing w:line="276" w:lineRule="auto"/>
        <w:ind w:hanging="426"/>
      </w:pPr>
    </w:p>
    <w:p w:rsidR="00F36289" w:rsidRDefault="00F36289" w:rsidP="00BD07B0">
      <w:pPr>
        <w:spacing w:line="276" w:lineRule="auto"/>
      </w:pPr>
      <w:r w:rsidRPr="009560C4">
        <w:t xml:space="preserve">Where </w:t>
      </w:r>
      <w:r>
        <w:t xml:space="preserve">DPTI controls </w:t>
      </w:r>
      <w:r w:rsidRPr="009560C4">
        <w:t xml:space="preserve">the workplace, </w:t>
      </w:r>
      <w:r>
        <w:t>DPTI</w:t>
      </w:r>
      <w:r w:rsidRPr="009560C4">
        <w:t xml:space="preserve"> must ensure that all hazards are controlled before the contractor enters the worksite and any potential hazards are brought to the contractor’s attention.</w:t>
      </w:r>
      <w:r w:rsidR="00007CF7">
        <w:t xml:space="preserve"> </w:t>
      </w:r>
      <w:r w:rsidRPr="009560C4">
        <w:t>Note that this may apply to contracts other than temporary staff / labour hire; for example where a plumber enters the premises to fix a leaking pipe.</w:t>
      </w:r>
    </w:p>
    <w:p w:rsidR="00004A64" w:rsidRPr="009560C4" w:rsidRDefault="00004A64" w:rsidP="00BD07B0">
      <w:pPr>
        <w:spacing w:line="276" w:lineRule="auto"/>
      </w:pPr>
    </w:p>
    <w:p w:rsidR="00F36289" w:rsidRPr="009560C4" w:rsidRDefault="00F36289" w:rsidP="00F36289">
      <w:pPr>
        <w:spacing w:line="276" w:lineRule="auto"/>
        <w:ind w:left="426" w:hanging="426"/>
      </w:pPr>
      <w:r w:rsidRPr="009560C4">
        <w:rPr>
          <w:u w:val="single"/>
        </w:rPr>
        <w:t>Responsibility for Industrial Relati</w:t>
      </w:r>
      <w:r w:rsidR="00BD07B0">
        <w:rPr>
          <w:u w:val="single"/>
        </w:rPr>
        <w:t xml:space="preserve">ons Matters or Liability </w:t>
      </w:r>
      <w:r w:rsidR="00FE4BB9">
        <w:rPr>
          <w:u w:val="single"/>
        </w:rPr>
        <w:t>t</w:t>
      </w:r>
      <w:r w:rsidR="00BD07B0">
        <w:rPr>
          <w:u w:val="single"/>
        </w:rPr>
        <w:t>oward</w:t>
      </w:r>
      <w:r w:rsidRPr="009560C4">
        <w:rPr>
          <w:u w:val="single"/>
        </w:rPr>
        <w:t xml:space="preserve"> Third Parties</w:t>
      </w:r>
      <w:r w:rsidRPr="009560C4">
        <w:t xml:space="preserve"> </w:t>
      </w:r>
    </w:p>
    <w:p w:rsidR="00F36289" w:rsidRPr="009560C4" w:rsidRDefault="00F36289" w:rsidP="00BD07B0">
      <w:pPr>
        <w:spacing w:line="276" w:lineRule="auto"/>
      </w:pPr>
      <w:r w:rsidRPr="009560C4">
        <w:t xml:space="preserve">A number of matters will need to be considered to determine whether it is a Contract for Services or a Contract of Employment. </w:t>
      </w:r>
    </w:p>
    <w:p w:rsidR="00F36289" w:rsidRPr="009560C4" w:rsidRDefault="00F36289" w:rsidP="00BD07B0">
      <w:pPr>
        <w:spacing w:line="276" w:lineRule="auto"/>
      </w:pPr>
      <w:r w:rsidRPr="009560C4">
        <w:t xml:space="preserve">If the contract is intended to be a Contract for Services, the contract should specify outcomes in performance terms without mention of how this is to be achieved. If the intention is to hire temporary staff, the relevant procedures in the </w:t>
      </w:r>
      <w:r>
        <w:t>DPTI</w:t>
      </w:r>
      <w:r w:rsidRPr="009560C4">
        <w:t xml:space="preserve"> Human Resour</w:t>
      </w:r>
      <w:bookmarkStart w:id="6" w:name="_Hlt3885910"/>
      <w:r w:rsidRPr="009560C4">
        <w:t>c</w:t>
      </w:r>
      <w:bookmarkEnd w:id="6"/>
      <w:r w:rsidRPr="009560C4">
        <w:t>es Manuals will apply.</w:t>
      </w:r>
      <w:r w:rsidR="00007CF7">
        <w:t xml:space="preserve"> </w:t>
      </w:r>
    </w:p>
    <w:p w:rsidR="00F36289" w:rsidRPr="009560C4" w:rsidRDefault="00F36289" w:rsidP="00BD07B0">
      <w:pPr>
        <w:spacing w:line="276" w:lineRule="auto"/>
      </w:pPr>
    </w:p>
    <w:p w:rsidR="00F36289" w:rsidRPr="009560C4" w:rsidRDefault="00F36289" w:rsidP="00BD07B0">
      <w:pPr>
        <w:spacing w:line="276" w:lineRule="auto"/>
      </w:pPr>
      <w:r w:rsidRPr="009560C4">
        <w:t>This is legally a very complex area and the issue has been examined by the High Court of Australia on a number of occasions.</w:t>
      </w:r>
      <w:r w:rsidR="00007CF7">
        <w:t xml:space="preserve"> </w:t>
      </w:r>
      <w:r w:rsidRPr="009560C4">
        <w:t xml:space="preserve">A court will consider more than just what the contract calls the </w:t>
      </w:r>
      <w:r w:rsidR="00605962">
        <w:t>“</w:t>
      </w:r>
      <w:r w:rsidRPr="009560C4">
        <w:t>relationship</w:t>
      </w:r>
      <w:r w:rsidR="00605962">
        <w:t>”</w:t>
      </w:r>
      <w:r w:rsidRPr="009560C4">
        <w:t>; i</w:t>
      </w:r>
      <w:r w:rsidR="00BD07B0">
        <w:t>.</w:t>
      </w:r>
      <w:r w:rsidRPr="009560C4">
        <w:t>e</w:t>
      </w:r>
      <w:r w:rsidR="00BD07B0">
        <w:t>.</w:t>
      </w:r>
      <w:r w:rsidRPr="009560C4">
        <w:t xml:space="preserve"> simply calling it a Contract for Services will not alone make it one</w:t>
      </w:r>
      <w:r w:rsidRPr="009560C4">
        <w:rPr>
          <w:rStyle w:val="FootnoteReference"/>
        </w:rPr>
        <w:footnoteReference w:id="3"/>
      </w:r>
      <w:r w:rsidRPr="009560C4">
        <w:t>.</w:t>
      </w:r>
      <w:r w:rsidR="00007CF7">
        <w:t xml:space="preserve"> </w:t>
      </w:r>
      <w:r w:rsidRPr="009560C4">
        <w:br/>
      </w:r>
    </w:p>
    <w:p w:rsidR="00F36289" w:rsidRPr="009560C4" w:rsidRDefault="00F36289" w:rsidP="00F36289">
      <w:pPr>
        <w:pStyle w:val="BodyText"/>
        <w:spacing w:line="276" w:lineRule="auto"/>
        <w:rPr>
          <w:b w:val="0"/>
        </w:rPr>
      </w:pPr>
      <w:r w:rsidRPr="009560C4">
        <w:rPr>
          <w:b w:val="0"/>
          <w:color w:val="000000"/>
        </w:rPr>
        <w:t xml:space="preserve">Workplace Services use the following criteria </w:t>
      </w:r>
      <w:r w:rsidR="00605962">
        <w:rPr>
          <w:b w:val="0"/>
          <w:color w:val="000000"/>
        </w:rPr>
        <w:t>to</w:t>
      </w:r>
      <w:r w:rsidRPr="009560C4">
        <w:rPr>
          <w:b w:val="0"/>
          <w:color w:val="000000"/>
        </w:rPr>
        <w:t xml:space="preserve"> determin</w:t>
      </w:r>
      <w:r w:rsidR="00605962">
        <w:rPr>
          <w:b w:val="0"/>
          <w:color w:val="000000"/>
        </w:rPr>
        <w:t>e</w:t>
      </w:r>
      <w:r w:rsidRPr="009560C4">
        <w:rPr>
          <w:b w:val="0"/>
          <w:color w:val="000000"/>
        </w:rPr>
        <w:t xml:space="preserve"> whether</w:t>
      </w:r>
      <w:r w:rsidRPr="009560C4">
        <w:rPr>
          <w:b w:val="0"/>
        </w:rPr>
        <w:t xml:space="preserve"> an employer – employee relationship exists: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0"/>
        <w:gridCol w:w="6803"/>
        <w:gridCol w:w="1276"/>
        <w:gridCol w:w="1270"/>
      </w:tblGrid>
      <w:tr w:rsidR="00910904" w:rsidRPr="00910904" w:rsidTr="00910904">
        <w:tc>
          <w:tcPr>
            <w:tcW w:w="280" w:type="dxa"/>
          </w:tcPr>
          <w:p w:rsidR="00910904" w:rsidRPr="00910904" w:rsidRDefault="00910904" w:rsidP="00910904">
            <w:pPr>
              <w:pStyle w:val="Heading3"/>
              <w:spacing w:after="0" w:line="276" w:lineRule="auto"/>
              <w:rPr>
                <w:sz w:val="20"/>
                <w:szCs w:val="20"/>
              </w:rPr>
            </w:pPr>
          </w:p>
        </w:tc>
        <w:tc>
          <w:tcPr>
            <w:tcW w:w="6803" w:type="dxa"/>
          </w:tcPr>
          <w:p w:rsidR="00910904" w:rsidRPr="00910904" w:rsidRDefault="00910904" w:rsidP="00AD325A">
            <w:pPr>
              <w:pStyle w:val="Heading3"/>
              <w:spacing w:after="0" w:line="276" w:lineRule="auto"/>
              <w:rPr>
                <w:sz w:val="20"/>
                <w:szCs w:val="20"/>
              </w:rPr>
            </w:pPr>
            <w:r w:rsidRPr="00910904">
              <w:rPr>
                <w:sz w:val="20"/>
                <w:szCs w:val="20"/>
              </w:rPr>
              <w:t>Criterion</w:t>
            </w:r>
          </w:p>
        </w:tc>
        <w:tc>
          <w:tcPr>
            <w:tcW w:w="1276" w:type="dxa"/>
          </w:tcPr>
          <w:p w:rsidR="00910904" w:rsidRPr="00910904" w:rsidRDefault="00004A64" w:rsidP="00AD325A">
            <w:pPr>
              <w:pStyle w:val="Heading4"/>
              <w:spacing w:line="276" w:lineRule="auto"/>
              <w:rPr>
                <w:sz w:val="20"/>
                <w:szCs w:val="20"/>
              </w:rPr>
            </w:pPr>
            <w:r>
              <w:rPr>
                <w:sz w:val="20"/>
                <w:szCs w:val="20"/>
              </w:rPr>
              <w:t xml:space="preserve">‘Employee’ </w:t>
            </w:r>
            <w:r w:rsidR="00910904" w:rsidRPr="00910904">
              <w:rPr>
                <w:sz w:val="20"/>
                <w:szCs w:val="20"/>
              </w:rPr>
              <w:br/>
            </w:r>
            <w:r w:rsidR="00910904" w:rsidRPr="00910904">
              <w:rPr>
                <w:b w:val="0"/>
                <w:sz w:val="20"/>
                <w:szCs w:val="20"/>
              </w:rPr>
              <w:t>(contract of service)</w:t>
            </w:r>
          </w:p>
        </w:tc>
        <w:tc>
          <w:tcPr>
            <w:tcW w:w="1270" w:type="dxa"/>
          </w:tcPr>
          <w:p w:rsidR="00910904" w:rsidRPr="00910904" w:rsidRDefault="00910904" w:rsidP="00AD325A">
            <w:pPr>
              <w:pStyle w:val="Heading4"/>
              <w:spacing w:line="276" w:lineRule="auto"/>
              <w:rPr>
                <w:sz w:val="20"/>
                <w:szCs w:val="20"/>
              </w:rPr>
            </w:pPr>
            <w:r>
              <w:rPr>
                <w:sz w:val="20"/>
                <w:szCs w:val="20"/>
              </w:rPr>
              <w:t>‘</w:t>
            </w:r>
            <w:r w:rsidRPr="00910904">
              <w:rPr>
                <w:sz w:val="20"/>
                <w:szCs w:val="20"/>
              </w:rPr>
              <w:t>Contractor</w:t>
            </w:r>
            <w:r>
              <w:rPr>
                <w:sz w:val="20"/>
                <w:szCs w:val="20"/>
              </w:rPr>
              <w:t>’</w:t>
            </w:r>
            <w:r w:rsidRPr="00910904">
              <w:rPr>
                <w:b w:val="0"/>
                <w:sz w:val="20"/>
                <w:szCs w:val="20"/>
              </w:rPr>
              <w:t xml:space="preserve"> (contract for services)</w:t>
            </w:r>
          </w:p>
        </w:tc>
      </w:tr>
      <w:tr w:rsidR="00910904" w:rsidRPr="009560C4" w:rsidTr="00910904">
        <w:tc>
          <w:tcPr>
            <w:tcW w:w="280" w:type="dxa"/>
          </w:tcPr>
          <w:p w:rsidR="00910904" w:rsidRPr="009560C4" w:rsidRDefault="00910904" w:rsidP="00910904">
            <w:pPr>
              <w:spacing w:line="276" w:lineRule="auto"/>
              <w:jc w:val="center"/>
            </w:pPr>
            <w:r>
              <w:t>1</w:t>
            </w:r>
          </w:p>
        </w:tc>
        <w:tc>
          <w:tcPr>
            <w:tcW w:w="6803" w:type="dxa"/>
          </w:tcPr>
          <w:p w:rsidR="00910904" w:rsidRPr="009560C4" w:rsidRDefault="00910904" w:rsidP="00AD325A">
            <w:pPr>
              <w:spacing w:line="276" w:lineRule="auto"/>
            </w:pPr>
            <w:r w:rsidRPr="009560C4">
              <w:t>Is the worker paid a wage or salary?</w:t>
            </w:r>
          </w:p>
        </w:tc>
        <w:tc>
          <w:tcPr>
            <w:tcW w:w="1276" w:type="dxa"/>
          </w:tcPr>
          <w:p w:rsidR="00910904" w:rsidRPr="009560C4" w:rsidRDefault="00910904" w:rsidP="00AD325A">
            <w:pPr>
              <w:spacing w:line="276" w:lineRule="auto"/>
              <w:jc w:val="center"/>
            </w:pPr>
            <w:r w:rsidRPr="009560C4">
              <w:t>Yes</w:t>
            </w:r>
          </w:p>
        </w:tc>
        <w:tc>
          <w:tcPr>
            <w:tcW w:w="1270" w:type="dxa"/>
          </w:tcPr>
          <w:p w:rsidR="00910904" w:rsidRPr="009560C4" w:rsidRDefault="00910904" w:rsidP="00AD325A">
            <w:pPr>
              <w:spacing w:line="276" w:lineRule="auto"/>
              <w:jc w:val="center"/>
            </w:pPr>
            <w:r w:rsidRPr="009560C4">
              <w:t>No</w:t>
            </w:r>
          </w:p>
        </w:tc>
      </w:tr>
      <w:tr w:rsidR="00910904" w:rsidRPr="009560C4" w:rsidTr="00910904">
        <w:tc>
          <w:tcPr>
            <w:tcW w:w="280" w:type="dxa"/>
          </w:tcPr>
          <w:p w:rsidR="00910904" w:rsidRPr="009560C4" w:rsidRDefault="00910904" w:rsidP="00910904">
            <w:pPr>
              <w:spacing w:line="276" w:lineRule="auto"/>
              <w:jc w:val="center"/>
            </w:pPr>
            <w:r>
              <w:t>2</w:t>
            </w:r>
          </w:p>
        </w:tc>
        <w:tc>
          <w:tcPr>
            <w:tcW w:w="6803" w:type="dxa"/>
          </w:tcPr>
          <w:p w:rsidR="00910904" w:rsidRPr="009560C4" w:rsidRDefault="00910904" w:rsidP="00AD325A">
            <w:pPr>
              <w:spacing w:line="276" w:lineRule="auto"/>
            </w:pPr>
            <w:r w:rsidRPr="009560C4">
              <w:t>Is the work performed at the employer’s place of business &amp; not away from it?</w:t>
            </w:r>
          </w:p>
        </w:tc>
        <w:tc>
          <w:tcPr>
            <w:tcW w:w="1276" w:type="dxa"/>
          </w:tcPr>
          <w:p w:rsidR="00910904" w:rsidRPr="009560C4" w:rsidRDefault="00910904" w:rsidP="00AD325A">
            <w:pPr>
              <w:spacing w:line="276" w:lineRule="auto"/>
              <w:jc w:val="center"/>
            </w:pPr>
            <w:r w:rsidRPr="009560C4">
              <w:t>Yes</w:t>
            </w:r>
          </w:p>
        </w:tc>
        <w:tc>
          <w:tcPr>
            <w:tcW w:w="1270" w:type="dxa"/>
          </w:tcPr>
          <w:p w:rsidR="00910904" w:rsidRPr="009560C4" w:rsidRDefault="00910904" w:rsidP="00AD325A">
            <w:pPr>
              <w:spacing w:line="276" w:lineRule="auto"/>
              <w:jc w:val="center"/>
            </w:pPr>
            <w:r w:rsidRPr="009560C4">
              <w:t>No</w:t>
            </w:r>
          </w:p>
        </w:tc>
      </w:tr>
      <w:tr w:rsidR="00910904" w:rsidRPr="009560C4" w:rsidTr="00910904">
        <w:tc>
          <w:tcPr>
            <w:tcW w:w="280" w:type="dxa"/>
          </w:tcPr>
          <w:p w:rsidR="00910904" w:rsidRPr="009560C4" w:rsidRDefault="00910904" w:rsidP="00910904">
            <w:pPr>
              <w:pStyle w:val="FootnoteText"/>
              <w:spacing w:line="276" w:lineRule="auto"/>
              <w:jc w:val="center"/>
              <w:rPr>
                <w:sz w:val="22"/>
              </w:rPr>
            </w:pPr>
            <w:r>
              <w:rPr>
                <w:sz w:val="22"/>
              </w:rPr>
              <w:t>3</w:t>
            </w:r>
          </w:p>
        </w:tc>
        <w:tc>
          <w:tcPr>
            <w:tcW w:w="6803" w:type="dxa"/>
          </w:tcPr>
          <w:p w:rsidR="00910904" w:rsidRPr="009560C4" w:rsidRDefault="00910904" w:rsidP="00AD325A">
            <w:pPr>
              <w:pStyle w:val="FootnoteText"/>
              <w:spacing w:line="276" w:lineRule="auto"/>
              <w:rPr>
                <w:sz w:val="22"/>
              </w:rPr>
            </w:pPr>
            <w:r w:rsidRPr="009560C4">
              <w:rPr>
                <w:sz w:val="22"/>
              </w:rPr>
              <w:t>Does the worker work regular and/or defined hours?</w:t>
            </w:r>
          </w:p>
        </w:tc>
        <w:tc>
          <w:tcPr>
            <w:tcW w:w="1276" w:type="dxa"/>
          </w:tcPr>
          <w:p w:rsidR="00910904" w:rsidRPr="009560C4" w:rsidRDefault="00910904" w:rsidP="00AD325A">
            <w:pPr>
              <w:spacing w:line="276" w:lineRule="auto"/>
              <w:jc w:val="center"/>
            </w:pPr>
            <w:r w:rsidRPr="009560C4">
              <w:t>Yes</w:t>
            </w:r>
          </w:p>
        </w:tc>
        <w:tc>
          <w:tcPr>
            <w:tcW w:w="1270" w:type="dxa"/>
          </w:tcPr>
          <w:p w:rsidR="00910904" w:rsidRPr="009560C4" w:rsidRDefault="00910904" w:rsidP="00AD325A">
            <w:pPr>
              <w:spacing w:line="276" w:lineRule="auto"/>
              <w:jc w:val="center"/>
            </w:pPr>
            <w:r w:rsidRPr="009560C4">
              <w:t>No</w:t>
            </w:r>
          </w:p>
        </w:tc>
      </w:tr>
      <w:tr w:rsidR="00910904" w:rsidRPr="009560C4" w:rsidTr="00910904">
        <w:tc>
          <w:tcPr>
            <w:tcW w:w="280" w:type="dxa"/>
          </w:tcPr>
          <w:p w:rsidR="00910904" w:rsidRPr="009560C4" w:rsidRDefault="00910904" w:rsidP="00910904">
            <w:pPr>
              <w:spacing w:line="276" w:lineRule="auto"/>
              <w:jc w:val="center"/>
            </w:pPr>
            <w:r>
              <w:t>4</w:t>
            </w:r>
          </w:p>
        </w:tc>
        <w:tc>
          <w:tcPr>
            <w:tcW w:w="6803" w:type="dxa"/>
          </w:tcPr>
          <w:p w:rsidR="00910904" w:rsidRPr="009560C4" w:rsidRDefault="00910904" w:rsidP="00AD325A">
            <w:pPr>
              <w:spacing w:line="276" w:lineRule="auto"/>
            </w:pPr>
            <w:r w:rsidRPr="009560C4">
              <w:t>Is the worker engaged to produce a certain result, the completion of which will terminate their relationship with the employer?</w:t>
            </w:r>
          </w:p>
        </w:tc>
        <w:tc>
          <w:tcPr>
            <w:tcW w:w="1276" w:type="dxa"/>
          </w:tcPr>
          <w:p w:rsidR="00910904" w:rsidRPr="009560C4" w:rsidRDefault="00910904" w:rsidP="00AD325A">
            <w:pPr>
              <w:spacing w:line="276" w:lineRule="auto"/>
              <w:jc w:val="center"/>
            </w:pPr>
            <w:r w:rsidRPr="009560C4">
              <w:t>No</w:t>
            </w:r>
          </w:p>
        </w:tc>
        <w:tc>
          <w:tcPr>
            <w:tcW w:w="1270" w:type="dxa"/>
          </w:tcPr>
          <w:p w:rsidR="00910904" w:rsidRPr="009560C4" w:rsidRDefault="00910904" w:rsidP="00AD325A">
            <w:pPr>
              <w:spacing w:line="276" w:lineRule="auto"/>
              <w:jc w:val="center"/>
            </w:pPr>
            <w:r w:rsidRPr="009560C4">
              <w:t>Yes</w:t>
            </w:r>
          </w:p>
        </w:tc>
      </w:tr>
      <w:tr w:rsidR="00910904" w:rsidRPr="009560C4" w:rsidTr="00910904">
        <w:tc>
          <w:tcPr>
            <w:tcW w:w="280" w:type="dxa"/>
          </w:tcPr>
          <w:p w:rsidR="00910904" w:rsidRPr="009560C4" w:rsidRDefault="00910904" w:rsidP="00910904">
            <w:pPr>
              <w:spacing w:line="276" w:lineRule="auto"/>
              <w:jc w:val="center"/>
            </w:pPr>
            <w:r>
              <w:lastRenderedPageBreak/>
              <w:t>5</w:t>
            </w:r>
          </w:p>
        </w:tc>
        <w:tc>
          <w:tcPr>
            <w:tcW w:w="6803" w:type="dxa"/>
          </w:tcPr>
          <w:p w:rsidR="00910904" w:rsidRPr="009560C4" w:rsidRDefault="00910904" w:rsidP="00AD325A">
            <w:pPr>
              <w:spacing w:line="276" w:lineRule="auto"/>
            </w:pPr>
            <w:r w:rsidRPr="009560C4">
              <w:t>Does the worker provide their own plant or equipment as a means of accomplishing his work?</w:t>
            </w:r>
          </w:p>
        </w:tc>
        <w:tc>
          <w:tcPr>
            <w:tcW w:w="1276" w:type="dxa"/>
          </w:tcPr>
          <w:p w:rsidR="00910904" w:rsidRPr="009560C4" w:rsidRDefault="00910904" w:rsidP="00AD325A">
            <w:pPr>
              <w:spacing w:line="276" w:lineRule="auto"/>
              <w:jc w:val="center"/>
            </w:pPr>
            <w:r w:rsidRPr="009560C4">
              <w:t>No</w:t>
            </w:r>
          </w:p>
        </w:tc>
        <w:tc>
          <w:tcPr>
            <w:tcW w:w="1270" w:type="dxa"/>
          </w:tcPr>
          <w:p w:rsidR="00910904" w:rsidRPr="009560C4" w:rsidRDefault="00910904" w:rsidP="00AD325A">
            <w:pPr>
              <w:spacing w:line="276" w:lineRule="auto"/>
              <w:jc w:val="center"/>
            </w:pPr>
            <w:r w:rsidRPr="009560C4">
              <w:t>Yes</w:t>
            </w:r>
          </w:p>
        </w:tc>
      </w:tr>
      <w:tr w:rsidR="00910904" w:rsidRPr="009560C4" w:rsidTr="00910904">
        <w:tc>
          <w:tcPr>
            <w:tcW w:w="280" w:type="dxa"/>
          </w:tcPr>
          <w:p w:rsidR="00910904" w:rsidRPr="009560C4" w:rsidRDefault="00910904" w:rsidP="00910904">
            <w:pPr>
              <w:spacing w:line="276" w:lineRule="auto"/>
              <w:jc w:val="center"/>
            </w:pPr>
            <w:r>
              <w:t>6</w:t>
            </w:r>
          </w:p>
        </w:tc>
        <w:tc>
          <w:tcPr>
            <w:tcW w:w="6803" w:type="dxa"/>
          </w:tcPr>
          <w:p w:rsidR="00910904" w:rsidRPr="009560C4" w:rsidRDefault="00910904" w:rsidP="00AD325A">
            <w:pPr>
              <w:spacing w:line="276" w:lineRule="auto"/>
            </w:pPr>
            <w:r w:rsidRPr="009560C4">
              <w:t>Does the worker have the right to subcontract or delegate his work?</w:t>
            </w:r>
          </w:p>
        </w:tc>
        <w:tc>
          <w:tcPr>
            <w:tcW w:w="1276" w:type="dxa"/>
          </w:tcPr>
          <w:p w:rsidR="00910904" w:rsidRPr="009560C4" w:rsidRDefault="00910904" w:rsidP="00AD325A">
            <w:pPr>
              <w:spacing w:line="276" w:lineRule="auto"/>
              <w:jc w:val="center"/>
            </w:pPr>
            <w:r w:rsidRPr="009560C4">
              <w:t>No</w:t>
            </w:r>
          </w:p>
        </w:tc>
        <w:tc>
          <w:tcPr>
            <w:tcW w:w="1270" w:type="dxa"/>
          </w:tcPr>
          <w:p w:rsidR="00910904" w:rsidRPr="009560C4" w:rsidRDefault="00910904" w:rsidP="00AD325A">
            <w:pPr>
              <w:spacing w:line="276" w:lineRule="auto"/>
              <w:jc w:val="center"/>
            </w:pPr>
            <w:r w:rsidRPr="009560C4">
              <w:t>Yes</w:t>
            </w:r>
          </w:p>
        </w:tc>
      </w:tr>
      <w:tr w:rsidR="00910904" w:rsidRPr="009560C4" w:rsidTr="00910904">
        <w:tc>
          <w:tcPr>
            <w:tcW w:w="280" w:type="dxa"/>
          </w:tcPr>
          <w:p w:rsidR="00910904" w:rsidRPr="00FE4BB9" w:rsidRDefault="00910904" w:rsidP="00910904">
            <w:pPr>
              <w:spacing w:line="276" w:lineRule="auto"/>
              <w:jc w:val="center"/>
            </w:pPr>
            <w:r>
              <w:t>7</w:t>
            </w:r>
          </w:p>
        </w:tc>
        <w:tc>
          <w:tcPr>
            <w:tcW w:w="6803" w:type="dxa"/>
          </w:tcPr>
          <w:p w:rsidR="00910904" w:rsidRPr="00FE4BB9" w:rsidRDefault="00910904" w:rsidP="00AD325A">
            <w:pPr>
              <w:spacing w:line="276" w:lineRule="auto"/>
            </w:pPr>
            <w:r w:rsidRPr="00FE4BB9">
              <w:t>Is the worker subject to, or does the employer reserve the right to subject the worker to detailed and direct control?</w:t>
            </w:r>
          </w:p>
          <w:p w:rsidR="00910904" w:rsidRPr="00FE4BB9" w:rsidRDefault="00910904" w:rsidP="00910904">
            <w:pPr>
              <w:spacing w:line="276" w:lineRule="auto"/>
              <w:rPr>
                <w:sz w:val="20"/>
                <w:szCs w:val="20"/>
              </w:rPr>
            </w:pPr>
            <w:r w:rsidRPr="00FE4BB9">
              <w:rPr>
                <w:i/>
                <w:sz w:val="20"/>
                <w:szCs w:val="20"/>
              </w:rPr>
              <w:t>All other things being equal, a positive answer to question 7 (control test) indicates an employer – employee relationship (i</w:t>
            </w:r>
            <w:r>
              <w:rPr>
                <w:i/>
                <w:sz w:val="20"/>
                <w:szCs w:val="20"/>
              </w:rPr>
              <w:t>.</w:t>
            </w:r>
            <w:r w:rsidRPr="00FE4BB9">
              <w:rPr>
                <w:i/>
                <w:sz w:val="20"/>
                <w:szCs w:val="20"/>
              </w:rPr>
              <w:t>e</w:t>
            </w:r>
            <w:r>
              <w:rPr>
                <w:i/>
                <w:sz w:val="20"/>
                <w:szCs w:val="20"/>
              </w:rPr>
              <w:t>.</w:t>
            </w:r>
            <w:r w:rsidRPr="00FE4BB9">
              <w:rPr>
                <w:i/>
                <w:sz w:val="20"/>
                <w:szCs w:val="20"/>
              </w:rPr>
              <w:t xml:space="preserve"> contract of service)</w:t>
            </w:r>
            <w:r w:rsidRPr="00FE4BB9">
              <w:rPr>
                <w:sz w:val="20"/>
                <w:szCs w:val="20"/>
              </w:rPr>
              <w:t xml:space="preserve"> </w:t>
            </w:r>
          </w:p>
        </w:tc>
        <w:tc>
          <w:tcPr>
            <w:tcW w:w="1276" w:type="dxa"/>
          </w:tcPr>
          <w:p w:rsidR="00910904" w:rsidRPr="00FE4BB9" w:rsidRDefault="00910904" w:rsidP="00AD325A">
            <w:pPr>
              <w:pStyle w:val="FootnoteText"/>
              <w:spacing w:line="276" w:lineRule="auto"/>
              <w:jc w:val="center"/>
              <w:rPr>
                <w:sz w:val="22"/>
              </w:rPr>
            </w:pPr>
            <w:r w:rsidRPr="00FE4BB9">
              <w:rPr>
                <w:sz w:val="22"/>
              </w:rPr>
              <w:t>Yes</w:t>
            </w:r>
          </w:p>
        </w:tc>
        <w:tc>
          <w:tcPr>
            <w:tcW w:w="1270" w:type="dxa"/>
          </w:tcPr>
          <w:p w:rsidR="00910904" w:rsidRPr="00FE4BB9" w:rsidRDefault="00910904" w:rsidP="00AD325A">
            <w:pPr>
              <w:spacing w:line="276" w:lineRule="auto"/>
              <w:jc w:val="center"/>
            </w:pPr>
            <w:r w:rsidRPr="00FE4BB9">
              <w:t>No</w:t>
            </w:r>
          </w:p>
        </w:tc>
      </w:tr>
    </w:tbl>
    <w:p w:rsidR="00F36289" w:rsidRPr="009560C4" w:rsidRDefault="00F36289" w:rsidP="00F36289">
      <w:pPr>
        <w:pStyle w:val="Heading5"/>
        <w:spacing w:line="276" w:lineRule="auto"/>
        <w:jc w:val="left"/>
        <w:rPr>
          <w:b w:val="0"/>
          <w:sz w:val="22"/>
        </w:rPr>
      </w:pPr>
      <w:r w:rsidRPr="009560C4">
        <w:rPr>
          <w:b w:val="0"/>
          <w:sz w:val="22"/>
        </w:rPr>
        <w:t>Note that for taxation purposes, a different set of criteria will apply.</w:t>
      </w:r>
      <w:r w:rsidR="00007CF7">
        <w:rPr>
          <w:b w:val="0"/>
          <w:sz w:val="22"/>
        </w:rPr>
        <w:t xml:space="preserve"> </w:t>
      </w:r>
      <w:r w:rsidRPr="009560C4">
        <w:rPr>
          <w:b w:val="0"/>
          <w:sz w:val="22"/>
        </w:rPr>
        <w:t>These are set by the Australian Taxation Office.</w:t>
      </w:r>
    </w:p>
    <w:p w:rsidR="00F36289" w:rsidRPr="009560C4" w:rsidRDefault="00F36289" w:rsidP="00F36289">
      <w:pPr>
        <w:spacing w:line="276" w:lineRule="auto"/>
      </w:pPr>
    </w:p>
    <w:p w:rsidR="00F36289" w:rsidRPr="009560C4" w:rsidRDefault="00EF259B" w:rsidP="00F36289">
      <w:pPr>
        <w:pStyle w:val="Heading1"/>
        <w:spacing w:line="276" w:lineRule="auto"/>
      </w:pPr>
      <w:bookmarkStart w:id="7" w:name="f"/>
      <w:r>
        <w:t>1.2.3</w:t>
      </w:r>
      <w:r w:rsidR="00F36289" w:rsidRPr="009560C4">
        <w:tab/>
        <w:t>Contracts for Services - General</w:t>
      </w:r>
      <w:bookmarkEnd w:id="7"/>
    </w:p>
    <w:p w:rsidR="00F36289" w:rsidRPr="009560C4" w:rsidRDefault="00F36289" w:rsidP="00F36289">
      <w:pPr>
        <w:spacing w:line="276" w:lineRule="auto"/>
      </w:pPr>
      <w:r w:rsidRPr="009560C4">
        <w:t>These are defined as</w:t>
      </w:r>
      <w:r w:rsidRPr="009560C4">
        <w:rPr>
          <w:snapToGrid w:val="0"/>
        </w:rPr>
        <w:t xml:space="preserve"> service contracts, which </w:t>
      </w:r>
      <w:r w:rsidRPr="009560C4">
        <w:t>are not labour hire or consultancies</w:t>
      </w:r>
      <w:r w:rsidR="0001677F">
        <w:t>.</w:t>
      </w:r>
    </w:p>
    <w:p w:rsidR="00F36289" w:rsidRPr="009560C4" w:rsidRDefault="00F36289" w:rsidP="00F36289">
      <w:pPr>
        <w:spacing w:line="276" w:lineRule="auto"/>
      </w:pPr>
    </w:p>
    <w:p w:rsidR="00F36289" w:rsidRPr="009560C4" w:rsidRDefault="00F36289" w:rsidP="00F36289">
      <w:pPr>
        <w:spacing w:line="276" w:lineRule="auto"/>
      </w:pPr>
      <w:r w:rsidRPr="009560C4">
        <w:t xml:space="preserve">These contracts are typically for the provision of services for the general ongoing operation of </w:t>
      </w:r>
      <w:r>
        <w:t>DPTI</w:t>
      </w:r>
      <w:r w:rsidRPr="009560C4">
        <w:t>.</w:t>
      </w:r>
      <w:r w:rsidR="00007CF7">
        <w:t xml:space="preserve"> </w:t>
      </w:r>
      <w:r w:rsidRPr="009560C4">
        <w:t>Examples include: cleaning services, professional services</w:t>
      </w:r>
      <w:r>
        <w:t xml:space="preserve"> for planning and design of transport infrastructure</w:t>
      </w:r>
      <w:r w:rsidRPr="009560C4">
        <w:t xml:space="preserve">, property management, security services, </w:t>
      </w:r>
      <w:r w:rsidR="00004A64" w:rsidRPr="009560C4">
        <w:t>and window</w:t>
      </w:r>
      <w:r w:rsidRPr="009560C4">
        <w:t xml:space="preserve"> cleaning services, plant hire contract and operation of ferries.</w:t>
      </w:r>
    </w:p>
    <w:p w:rsidR="001E08E6" w:rsidRPr="009560C4" w:rsidRDefault="001E08E6" w:rsidP="007613F5">
      <w:pPr>
        <w:spacing w:line="276" w:lineRule="auto"/>
      </w:pPr>
      <w:r w:rsidRPr="009560C4">
        <w:t xml:space="preserve">The following is a summary of the different types of services contracts used by </w:t>
      </w:r>
      <w:r>
        <w:t>DPTI</w:t>
      </w:r>
      <w:r w:rsidRPr="009560C4">
        <w:t>:</w:t>
      </w:r>
    </w:p>
    <w:p w:rsidR="001E08E6" w:rsidRPr="009560C4" w:rsidRDefault="001E08E6" w:rsidP="007613F5">
      <w:pPr>
        <w:spacing w:line="276" w:lineRule="auto"/>
      </w:pPr>
    </w:p>
    <w:p w:rsidR="001E08E6" w:rsidRDefault="001E08E6" w:rsidP="007613F5">
      <w:pPr>
        <w:spacing w:line="276" w:lineRule="auto"/>
      </w:pPr>
    </w:p>
    <w:p w:rsidR="006F607E" w:rsidRPr="009560C4" w:rsidRDefault="006F607E" w:rsidP="007613F5">
      <w:pPr>
        <w:spacing w:line="276" w:lineRule="auto"/>
      </w:pPr>
    </w:p>
    <w:p w:rsidR="001E08E6" w:rsidRPr="009560C4" w:rsidRDefault="001E08E6" w:rsidP="007613F5">
      <w:pPr>
        <w:spacing w:line="276" w:lineRule="auto"/>
        <w:rPr>
          <w:b/>
        </w:rPr>
      </w:pPr>
      <w:bookmarkStart w:id="8" w:name="conjunct"/>
      <w:bookmarkStart w:id="9" w:name="definitions"/>
      <w:r w:rsidRPr="009560C4">
        <w:rPr>
          <w:b/>
        </w:rPr>
        <w:t>1.3</w:t>
      </w:r>
      <w:r w:rsidRPr="009560C4">
        <w:rPr>
          <w:b/>
        </w:rPr>
        <w:tab/>
        <w:t xml:space="preserve">GOODS AND SERVICES </w:t>
      </w:r>
      <w:r>
        <w:rPr>
          <w:b/>
        </w:rPr>
        <w:t>“</w:t>
      </w:r>
      <w:r w:rsidRPr="009560C4">
        <w:rPr>
          <w:b/>
        </w:rPr>
        <w:t xml:space="preserve">IN CONJUNCTION WITH </w:t>
      </w:r>
      <w:r>
        <w:rPr>
          <w:b/>
        </w:rPr>
        <w:t>CONSTRUCTION WORK”</w:t>
      </w:r>
    </w:p>
    <w:bookmarkEnd w:id="8"/>
    <w:p w:rsidR="006F607E" w:rsidRDefault="006F607E" w:rsidP="007613F5">
      <w:pPr>
        <w:spacing w:line="276" w:lineRule="auto"/>
      </w:pPr>
    </w:p>
    <w:p w:rsidR="001E08E6" w:rsidRDefault="001E08E6" w:rsidP="007613F5">
      <w:pPr>
        <w:spacing w:line="276" w:lineRule="auto"/>
        <w:rPr>
          <w:rFonts w:cs="Arial"/>
          <w:i/>
        </w:rPr>
      </w:pPr>
      <w:r>
        <w:t xml:space="preserve">For </w:t>
      </w:r>
      <w:r w:rsidRPr="009560C4">
        <w:rPr>
          <w:rFonts w:cs="Arial"/>
          <w:iCs/>
        </w:rPr>
        <w:t>complete definitions</w:t>
      </w:r>
      <w:r>
        <w:rPr>
          <w:rFonts w:cs="Arial"/>
          <w:iCs/>
        </w:rPr>
        <w:t xml:space="preserve">, refer to </w:t>
      </w:r>
      <w:bookmarkStart w:id="10" w:name="top"/>
      <w:bookmarkEnd w:id="10"/>
      <w:r w:rsidRPr="009560C4">
        <w:rPr>
          <w:rFonts w:cs="Arial"/>
          <w:iCs/>
        </w:rPr>
        <w:t xml:space="preserve">the </w:t>
      </w:r>
      <w:hyperlink r:id="rId14" w:tgtFrame="_new" w:history="1">
        <w:r w:rsidRPr="009560C4">
          <w:rPr>
            <w:rStyle w:val="Hyperlink"/>
            <w:rFonts w:cs="Arial"/>
            <w:i/>
          </w:rPr>
          <w:t>State Procurement Regulations 2005</w:t>
        </w:r>
      </w:hyperlink>
      <w:r w:rsidRPr="009560C4">
        <w:rPr>
          <w:rFonts w:cs="Arial"/>
          <w:iCs/>
        </w:rPr>
        <w:t xml:space="preserve"> and </w:t>
      </w:r>
      <w:hyperlink r:id="rId15" w:history="1">
        <w:r w:rsidRPr="009560C4">
          <w:rPr>
            <w:rStyle w:val="Hyperlink"/>
            <w:i/>
            <w:iCs/>
          </w:rPr>
          <w:t>Building Work Contractors Act 1995</w:t>
        </w:r>
      </w:hyperlink>
      <w:r>
        <w:rPr>
          <w:rFonts w:cs="Arial"/>
          <w:i/>
        </w:rPr>
        <w:t>.</w:t>
      </w:r>
    </w:p>
    <w:p w:rsidR="00004A64" w:rsidRDefault="00004A64" w:rsidP="007613F5">
      <w:pPr>
        <w:spacing w:line="276" w:lineRule="auto"/>
        <w:rPr>
          <w:rFonts w:cs="Arial"/>
        </w:rPr>
      </w:pPr>
    </w:p>
    <w:p w:rsidR="001E08E6" w:rsidRDefault="001E08E6" w:rsidP="007613F5">
      <w:pPr>
        <w:spacing w:line="276" w:lineRule="auto"/>
        <w:rPr>
          <w:iCs/>
          <w:color w:val="000000"/>
        </w:rPr>
      </w:pPr>
      <w:r w:rsidRPr="009560C4">
        <w:t xml:space="preserve">In accordance with the Regulations </w:t>
      </w:r>
      <w:r w:rsidRPr="009560C4">
        <w:rPr>
          <w:color w:val="000000"/>
        </w:rPr>
        <w:t xml:space="preserve">under the </w:t>
      </w:r>
      <w:r>
        <w:rPr>
          <w:i/>
          <w:iCs/>
          <w:color w:val="000000"/>
        </w:rPr>
        <w:t xml:space="preserve">State Procurement Act 2004 </w:t>
      </w:r>
      <w:r>
        <w:rPr>
          <w:iCs/>
          <w:color w:val="000000"/>
        </w:rPr>
        <w:t>(SA), a</w:t>
      </w:r>
      <w:r w:rsidRPr="009560C4">
        <w:rPr>
          <w:iCs/>
          <w:color w:val="000000"/>
        </w:rPr>
        <w:t xml:space="preserve"> “Prescribed Construction Project”</w:t>
      </w:r>
      <w:r>
        <w:rPr>
          <w:iCs/>
          <w:color w:val="000000"/>
        </w:rPr>
        <w:t xml:space="preserve"> valued at more than $150,000 (excluding GST)</w:t>
      </w:r>
      <w:r w:rsidRPr="009560C4">
        <w:rPr>
          <w:iCs/>
          <w:color w:val="000000"/>
        </w:rPr>
        <w:t xml:space="preserve"> is excluded</w:t>
      </w:r>
      <w:r w:rsidRPr="009560C4">
        <w:rPr>
          <w:i/>
          <w:iCs/>
          <w:color w:val="000000"/>
        </w:rPr>
        <w:t xml:space="preserve"> </w:t>
      </w:r>
      <w:r w:rsidRPr="009560C4">
        <w:rPr>
          <w:iCs/>
          <w:color w:val="000000"/>
        </w:rPr>
        <w:t xml:space="preserve">from “Procurement Operations” under the Act. </w:t>
      </w:r>
    </w:p>
    <w:p w:rsidR="001E08E6" w:rsidRDefault="001E08E6" w:rsidP="007613F5">
      <w:pPr>
        <w:spacing w:line="276" w:lineRule="auto"/>
        <w:rPr>
          <w:rFonts w:cs="Arial"/>
          <w:iCs/>
          <w:color w:val="000000"/>
        </w:rPr>
      </w:pPr>
      <w:r w:rsidRPr="009560C4">
        <w:rPr>
          <w:iCs/>
          <w:color w:val="000000"/>
        </w:rPr>
        <w:t xml:space="preserve">A Prescribed Construction Project is a project that primarily involves the procurement of construction work </w:t>
      </w:r>
      <w:r>
        <w:rPr>
          <w:iCs/>
          <w:color w:val="000000"/>
        </w:rPr>
        <w:t xml:space="preserve">and </w:t>
      </w:r>
      <w:r>
        <w:rPr>
          <w:rFonts w:cs="Arial"/>
          <w:iCs/>
          <w:color w:val="000000"/>
        </w:rPr>
        <w:t>encompasses</w:t>
      </w:r>
      <w:r w:rsidRPr="009560C4">
        <w:rPr>
          <w:rStyle w:val="FootnoteReference"/>
          <w:rFonts w:cs="Arial"/>
          <w:iCs/>
        </w:rPr>
        <w:footnoteReference w:id="4"/>
      </w:r>
      <w:r w:rsidRPr="009560C4">
        <w:rPr>
          <w:rFonts w:cs="Arial"/>
          <w:iCs/>
          <w:color w:val="000000"/>
        </w:rPr>
        <w:t>:</w:t>
      </w:r>
    </w:p>
    <w:p w:rsidR="00004A64" w:rsidRPr="009560C4" w:rsidRDefault="00004A64" w:rsidP="007613F5">
      <w:pPr>
        <w:spacing w:line="276" w:lineRule="auto"/>
        <w:rPr>
          <w:rFonts w:cs="Arial"/>
          <w:iCs/>
          <w:color w:val="000000"/>
        </w:rPr>
      </w:pPr>
    </w:p>
    <w:p w:rsidR="001E08E6" w:rsidRPr="009560C4" w:rsidRDefault="001E08E6" w:rsidP="007613F5">
      <w:pPr>
        <w:autoSpaceDE w:val="0"/>
        <w:autoSpaceDN w:val="0"/>
        <w:adjustRightInd w:val="0"/>
        <w:spacing w:line="276" w:lineRule="auto"/>
        <w:ind w:left="1080" w:hanging="654"/>
        <w:rPr>
          <w:rFonts w:cs="Arial"/>
          <w:iCs/>
        </w:rPr>
      </w:pPr>
      <w:r>
        <w:rPr>
          <w:rFonts w:cs="Arial"/>
          <w:iCs/>
        </w:rPr>
        <w:t>(i)</w:t>
      </w:r>
      <w:r>
        <w:rPr>
          <w:rFonts w:cs="Arial"/>
          <w:iCs/>
        </w:rPr>
        <w:tab/>
      </w:r>
      <w:r w:rsidRPr="009560C4">
        <w:rPr>
          <w:rFonts w:cs="Arial"/>
          <w:iCs/>
        </w:rPr>
        <w:t xml:space="preserve">the acquisition and installation of fixtures, plant, equipment, appliances and fittings in conjunction with </w:t>
      </w:r>
      <w:r w:rsidRPr="006063C6">
        <w:rPr>
          <w:rFonts w:cs="Arial"/>
          <w:b/>
          <w:iCs/>
        </w:rPr>
        <w:t>construction work</w:t>
      </w:r>
      <w:r w:rsidRPr="009560C4">
        <w:rPr>
          <w:rFonts w:cs="Arial"/>
          <w:iCs/>
        </w:rPr>
        <w:t>; and</w:t>
      </w:r>
    </w:p>
    <w:p w:rsidR="001E08E6" w:rsidRDefault="001E08E6" w:rsidP="00004A64">
      <w:pPr>
        <w:autoSpaceDE w:val="0"/>
        <w:autoSpaceDN w:val="0"/>
        <w:adjustRightInd w:val="0"/>
        <w:spacing w:line="276" w:lineRule="auto"/>
        <w:ind w:left="1080" w:hanging="654"/>
        <w:rPr>
          <w:rFonts w:cs="Arial"/>
          <w:iCs/>
        </w:rPr>
      </w:pPr>
      <w:r>
        <w:rPr>
          <w:rFonts w:cs="Arial"/>
          <w:iCs/>
        </w:rPr>
        <w:t>(ii)</w:t>
      </w:r>
      <w:r>
        <w:rPr>
          <w:rFonts w:cs="Arial"/>
          <w:iCs/>
        </w:rPr>
        <w:tab/>
      </w:r>
      <w:r w:rsidRPr="009560C4">
        <w:rPr>
          <w:rFonts w:cs="Arial"/>
          <w:iCs/>
        </w:rPr>
        <w:t xml:space="preserve">the acquisition of survey, planning, design and other services in conjunction with </w:t>
      </w:r>
      <w:r w:rsidRPr="006063C6">
        <w:rPr>
          <w:rFonts w:cs="Arial"/>
          <w:b/>
          <w:iCs/>
        </w:rPr>
        <w:t>construction work</w:t>
      </w:r>
      <w:r w:rsidRPr="009560C4">
        <w:rPr>
          <w:rFonts w:cs="Arial"/>
          <w:iCs/>
        </w:rPr>
        <w:t>; but</w:t>
      </w:r>
      <w:r w:rsidR="00004A64">
        <w:rPr>
          <w:rFonts w:cs="Arial"/>
          <w:iCs/>
        </w:rPr>
        <w:t xml:space="preserve"> </w:t>
      </w:r>
      <w:r w:rsidRPr="009560C4">
        <w:rPr>
          <w:rFonts w:cs="Arial"/>
          <w:iCs/>
        </w:rPr>
        <w:t xml:space="preserve">does not encompass the acquisition of goods and services for the ongoing maintenance of a </w:t>
      </w:r>
      <w:r w:rsidRPr="00E903D5">
        <w:rPr>
          <w:rFonts w:cs="Arial"/>
          <w:b/>
          <w:iCs/>
        </w:rPr>
        <w:t>building</w:t>
      </w:r>
      <w:r w:rsidRPr="009560C4">
        <w:rPr>
          <w:rFonts w:cs="Arial"/>
          <w:iCs/>
        </w:rPr>
        <w:t xml:space="preserve"> or </w:t>
      </w:r>
      <w:r w:rsidRPr="00E903D5">
        <w:rPr>
          <w:rFonts w:cs="Arial"/>
          <w:b/>
          <w:iCs/>
        </w:rPr>
        <w:t>structure</w:t>
      </w:r>
      <w:r w:rsidR="00004A64">
        <w:rPr>
          <w:rFonts w:cs="Arial"/>
          <w:iCs/>
        </w:rPr>
        <w:t>.</w:t>
      </w:r>
    </w:p>
    <w:p w:rsidR="00004A64" w:rsidRPr="009560C4" w:rsidRDefault="00004A64" w:rsidP="00004A64">
      <w:pPr>
        <w:autoSpaceDE w:val="0"/>
        <w:autoSpaceDN w:val="0"/>
        <w:adjustRightInd w:val="0"/>
        <w:spacing w:line="276" w:lineRule="auto"/>
        <w:ind w:left="1080" w:hanging="654"/>
        <w:rPr>
          <w:rFonts w:cs="Arial"/>
          <w:iCs/>
        </w:rPr>
      </w:pPr>
    </w:p>
    <w:p w:rsidR="001E08E6" w:rsidRPr="009560C4" w:rsidRDefault="001E08E6" w:rsidP="007613F5">
      <w:pPr>
        <w:spacing w:line="276" w:lineRule="auto"/>
        <w:rPr>
          <w:rFonts w:cs="Arial"/>
        </w:rPr>
      </w:pPr>
      <w:r>
        <w:rPr>
          <w:iCs/>
          <w:color w:val="000000"/>
        </w:rPr>
        <w:t>Therefore,</w:t>
      </w:r>
      <w:r w:rsidRPr="009560C4">
        <w:rPr>
          <w:iCs/>
          <w:color w:val="000000"/>
        </w:rPr>
        <w:t xml:space="preserve"> goods and services purchased in </w:t>
      </w:r>
      <w:r>
        <w:rPr>
          <w:iCs/>
          <w:color w:val="000000"/>
        </w:rPr>
        <w:t xml:space="preserve">accordance with the above </w:t>
      </w:r>
      <w:r w:rsidRPr="009560C4">
        <w:rPr>
          <w:iCs/>
          <w:color w:val="000000"/>
        </w:rPr>
        <w:t xml:space="preserve">are not subject to </w:t>
      </w:r>
      <w:r w:rsidRPr="009560C4">
        <w:rPr>
          <w:i/>
          <w:iCs/>
          <w:color w:val="000000"/>
        </w:rPr>
        <w:t>State Procurement Act</w:t>
      </w:r>
      <w:r w:rsidRPr="009560C4">
        <w:rPr>
          <w:iCs/>
          <w:color w:val="000000"/>
        </w:rPr>
        <w:t>.</w:t>
      </w:r>
      <w:r w:rsidR="00007CF7">
        <w:rPr>
          <w:iCs/>
          <w:color w:val="000000"/>
        </w:rPr>
        <w:t xml:space="preserve"> </w:t>
      </w:r>
      <w:r>
        <w:rPr>
          <w:iCs/>
          <w:color w:val="000000"/>
        </w:rPr>
        <w:t>These are commonly referred to as “goods &amp; services in conjunction with construction”.</w:t>
      </w:r>
    </w:p>
    <w:p w:rsidR="00004A64" w:rsidRDefault="00004A64" w:rsidP="007613F5">
      <w:pPr>
        <w:autoSpaceDE w:val="0"/>
        <w:autoSpaceDN w:val="0"/>
        <w:adjustRightInd w:val="0"/>
        <w:spacing w:line="276" w:lineRule="auto"/>
        <w:ind w:left="425" w:hanging="425"/>
        <w:rPr>
          <w:rFonts w:cs="Arial"/>
          <w:iCs/>
        </w:rPr>
      </w:pPr>
    </w:p>
    <w:p w:rsidR="001E08E6" w:rsidRPr="009560C4" w:rsidRDefault="001E08E6" w:rsidP="007613F5">
      <w:pPr>
        <w:autoSpaceDE w:val="0"/>
        <w:autoSpaceDN w:val="0"/>
        <w:adjustRightInd w:val="0"/>
        <w:spacing w:line="276" w:lineRule="auto"/>
        <w:ind w:left="425" w:hanging="425"/>
        <w:rPr>
          <w:rFonts w:cs="Arial"/>
          <w:iCs/>
        </w:rPr>
      </w:pPr>
      <w:r w:rsidRPr="009560C4">
        <w:rPr>
          <w:rFonts w:cs="Arial"/>
          <w:iCs/>
        </w:rPr>
        <w:t>Notes:</w:t>
      </w:r>
    </w:p>
    <w:p w:rsidR="001E08E6" w:rsidRDefault="00004A64" w:rsidP="007613F5">
      <w:pPr>
        <w:spacing w:line="276" w:lineRule="auto"/>
        <w:ind w:left="426" w:hanging="426"/>
        <w:rPr>
          <w:rFonts w:cs="Arial"/>
        </w:rPr>
      </w:pPr>
      <w:r w:rsidRPr="006063C6">
        <w:rPr>
          <w:rFonts w:cs="Arial"/>
          <w:b/>
        </w:rPr>
        <w:t>Construction</w:t>
      </w:r>
      <w:r w:rsidR="001E08E6" w:rsidRPr="006063C6">
        <w:rPr>
          <w:rFonts w:cs="Arial"/>
          <w:b/>
        </w:rPr>
        <w:t xml:space="preserve"> work</w:t>
      </w:r>
      <w:r w:rsidR="001E08E6" w:rsidRPr="00EA2AA4">
        <w:rPr>
          <w:rFonts w:cs="Arial"/>
          <w:iCs/>
          <w:vertAlign w:val="superscript"/>
        </w:rPr>
        <w:t>4</w:t>
      </w:r>
      <w:r w:rsidR="001E08E6" w:rsidRPr="006063C6">
        <w:rPr>
          <w:rFonts w:cs="Arial"/>
          <w:i/>
        </w:rPr>
        <w:t xml:space="preserve"> </w:t>
      </w:r>
      <w:r w:rsidR="001E08E6" w:rsidRPr="009560C4">
        <w:rPr>
          <w:rFonts w:cs="Arial"/>
        </w:rPr>
        <w:t>means:</w:t>
      </w:r>
    </w:p>
    <w:p w:rsidR="00004A64" w:rsidRPr="009560C4" w:rsidRDefault="00004A64" w:rsidP="007613F5">
      <w:pPr>
        <w:spacing w:line="276" w:lineRule="auto"/>
        <w:ind w:left="426" w:hanging="426"/>
        <w:rPr>
          <w:rFonts w:cs="Arial"/>
        </w:rPr>
      </w:pPr>
    </w:p>
    <w:p w:rsidR="001E08E6" w:rsidRDefault="001E08E6" w:rsidP="00004A64">
      <w:pPr>
        <w:autoSpaceDE w:val="0"/>
        <w:autoSpaceDN w:val="0"/>
        <w:adjustRightInd w:val="0"/>
        <w:spacing w:line="276" w:lineRule="auto"/>
        <w:ind w:left="720" w:hanging="294"/>
        <w:rPr>
          <w:rFonts w:cs="Arial"/>
          <w:iCs/>
        </w:rPr>
      </w:pPr>
      <w:r w:rsidRPr="00EA2AA4">
        <w:rPr>
          <w:rFonts w:cs="Arial"/>
          <w:iCs/>
        </w:rPr>
        <w:t>(a)</w:t>
      </w:r>
      <w:r w:rsidRPr="00EA2AA4">
        <w:rPr>
          <w:rFonts w:cs="Arial"/>
          <w:iCs/>
        </w:rPr>
        <w:tab/>
      </w:r>
      <w:r w:rsidRPr="00EA2AA4">
        <w:rPr>
          <w:rFonts w:cs="Arial"/>
          <w:b/>
          <w:iCs/>
        </w:rPr>
        <w:t>building work</w:t>
      </w:r>
      <w:r w:rsidRPr="00EA2AA4">
        <w:rPr>
          <w:rFonts w:cs="Arial"/>
          <w:iCs/>
        </w:rPr>
        <w:t xml:space="preserve"> </w:t>
      </w:r>
      <w:r w:rsidRPr="00EA2AA4">
        <w:rPr>
          <w:rFonts w:cs="Arial"/>
          <w:i/>
          <w:iCs/>
        </w:rPr>
        <w:t>(ie the whole or part of the work of constructing, erecting, underpinning,</w:t>
      </w:r>
      <w:r w:rsidRPr="006063C6">
        <w:rPr>
          <w:rFonts w:cs="Arial"/>
          <w:i/>
          <w:iCs/>
        </w:rPr>
        <w:t xml:space="preserve"> altering,</w:t>
      </w:r>
      <w:r w:rsidRPr="006824C4">
        <w:rPr>
          <w:rFonts w:cs="Arial"/>
          <w:b/>
          <w:i/>
          <w:iCs/>
        </w:rPr>
        <w:t xml:space="preserve"> repairing</w:t>
      </w:r>
      <w:r w:rsidRPr="006063C6">
        <w:rPr>
          <w:rFonts w:cs="Arial"/>
          <w:i/>
          <w:iCs/>
        </w:rPr>
        <w:t>, improving, adding to or demolishing a</w:t>
      </w:r>
      <w:r w:rsidRPr="00444D01">
        <w:rPr>
          <w:rFonts w:cs="Arial"/>
          <w:b/>
          <w:i/>
          <w:iCs/>
        </w:rPr>
        <w:t xml:space="preserve"> building</w:t>
      </w:r>
      <w:r w:rsidRPr="00B14216">
        <w:rPr>
          <w:vertAlign w:val="superscript"/>
        </w:rPr>
        <w:footnoteReference w:id="5"/>
      </w:r>
      <w:r>
        <w:rPr>
          <w:rFonts w:cs="Arial"/>
          <w:iCs/>
        </w:rPr>
        <w:t>);</w:t>
      </w:r>
      <w:r w:rsidRPr="009560C4">
        <w:rPr>
          <w:rFonts w:cs="Arial"/>
          <w:iCs/>
        </w:rPr>
        <w:t>or</w:t>
      </w:r>
    </w:p>
    <w:p w:rsidR="001E08E6" w:rsidRDefault="001E08E6" w:rsidP="00004A64">
      <w:pPr>
        <w:autoSpaceDE w:val="0"/>
        <w:autoSpaceDN w:val="0"/>
        <w:adjustRightInd w:val="0"/>
        <w:spacing w:line="276" w:lineRule="auto"/>
        <w:ind w:left="720" w:hanging="294"/>
        <w:rPr>
          <w:rFonts w:cs="Arial"/>
          <w:i/>
          <w:iCs/>
        </w:rPr>
      </w:pPr>
      <w:r>
        <w:rPr>
          <w:rFonts w:cs="Arial"/>
          <w:iCs/>
        </w:rPr>
        <w:t>(b)</w:t>
      </w:r>
      <w:r>
        <w:rPr>
          <w:rFonts w:cs="Arial"/>
          <w:iCs/>
        </w:rPr>
        <w:tab/>
      </w:r>
      <w:r w:rsidRPr="006063C6">
        <w:rPr>
          <w:rFonts w:cs="Arial"/>
          <w:iCs/>
        </w:rPr>
        <w:t xml:space="preserve">the whole or part of the work of excavating or filling of </w:t>
      </w:r>
      <w:r w:rsidRPr="006824C4">
        <w:rPr>
          <w:rFonts w:cs="Arial"/>
          <w:b/>
          <w:iCs/>
        </w:rPr>
        <w:t>land</w:t>
      </w:r>
      <w:r w:rsidRPr="006063C6">
        <w:rPr>
          <w:rFonts w:cs="Arial"/>
          <w:iCs/>
        </w:rPr>
        <w:t xml:space="preserve"> not constituting building work</w:t>
      </w:r>
      <w:r w:rsidRPr="006063C6">
        <w:rPr>
          <w:rFonts w:cs="Arial"/>
          <w:i/>
          <w:iCs/>
        </w:rPr>
        <w:t xml:space="preserve">. </w:t>
      </w:r>
    </w:p>
    <w:p w:rsidR="00004A64" w:rsidRPr="006063C6" w:rsidRDefault="00004A64" w:rsidP="00004A64">
      <w:pPr>
        <w:autoSpaceDE w:val="0"/>
        <w:autoSpaceDN w:val="0"/>
        <w:adjustRightInd w:val="0"/>
        <w:spacing w:line="276" w:lineRule="auto"/>
        <w:ind w:left="720" w:hanging="294"/>
        <w:rPr>
          <w:rFonts w:cs="Arial"/>
          <w:i/>
          <w:iCs/>
        </w:rPr>
      </w:pPr>
    </w:p>
    <w:p w:rsidR="001E08E6" w:rsidRPr="006824C4" w:rsidRDefault="001E08E6" w:rsidP="007613F5">
      <w:pPr>
        <w:spacing w:line="276" w:lineRule="auto"/>
      </w:pPr>
      <w:r w:rsidRPr="00E91822">
        <w:rPr>
          <w:b/>
        </w:rPr>
        <w:t>“</w:t>
      </w:r>
      <w:r w:rsidR="00004A64" w:rsidRPr="00E91822">
        <w:rPr>
          <w:b/>
        </w:rPr>
        <w:t>Building</w:t>
      </w:r>
      <w:r w:rsidRPr="00E91822">
        <w:rPr>
          <w:b/>
        </w:rPr>
        <w:t>”</w:t>
      </w:r>
      <w:r w:rsidRPr="00E91822">
        <w:t xml:space="preserve"> includes a </w:t>
      </w:r>
      <w:r w:rsidRPr="006824C4">
        <w:t>structure and part of a building or structure</w:t>
      </w:r>
      <w:r w:rsidRPr="006824C4">
        <w:rPr>
          <w:rStyle w:val="FootnoteReference"/>
          <w:rFonts w:cs="Arial"/>
          <w:iCs/>
        </w:rPr>
        <w:footnoteReference w:id="6"/>
      </w:r>
      <w:r w:rsidRPr="006824C4">
        <w:rPr>
          <w:rFonts w:cs="Arial"/>
          <w:iCs/>
        </w:rPr>
        <w:t>.</w:t>
      </w:r>
    </w:p>
    <w:p w:rsidR="001E08E6" w:rsidRPr="009560C4" w:rsidRDefault="001E08E6" w:rsidP="007613F5">
      <w:pPr>
        <w:autoSpaceDE w:val="0"/>
        <w:autoSpaceDN w:val="0"/>
        <w:adjustRightInd w:val="0"/>
        <w:spacing w:line="276" w:lineRule="auto"/>
        <w:rPr>
          <w:rFonts w:cs="Arial"/>
          <w:iCs/>
        </w:rPr>
      </w:pPr>
      <w:r w:rsidRPr="00E91822">
        <w:rPr>
          <w:rFonts w:cs="Arial"/>
          <w:b/>
          <w:iCs/>
        </w:rPr>
        <w:t>“</w:t>
      </w:r>
      <w:r w:rsidR="00004A64" w:rsidRPr="00E91822">
        <w:rPr>
          <w:rFonts w:cs="Arial"/>
          <w:b/>
          <w:iCs/>
        </w:rPr>
        <w:t>Structure</w:t>
      </w:r>
      <w:r w:rsidRPr="00E91822">
        <w:rPr>
          <w:rFonts w:cs="Arial"/>
          <w:b/>
          <w:iCs/>
        </w:rPr>
        <w:t>”</w:t>
      </w:r>
      <w:r w:rsidRPr="009560C4">
        <w:rPr>
          <w:rFonts w:cs="Arial"/>
          <w:iCs/>
        </w:rPr>
        <w:t xml:space="preserve"> includes a bridge, road, drainage works, pavement and roadside furniture (eg signs and safety barriers).</w:t>
      </w:r>
    </w:p>
    <w:p w:rsidR="001E08E6" w:rsidRPr="00B14216" w:rsidRDefault="001E08E6" w:rsidP="007613F5">
      <w:pPr>
        <w:autoSpaceDE w:val="0"/>
        <w:autoSpaceDN w:val="0"/>
        <w:adjustRightInd w:val="0"/>
        <w:spacing w:line="276" w:lineRule="auto"/>
        <w:rPr>
          <w:rFonts w:cs="Arial"/>
          <w:iCs/>
        </w:rPr>
      </w:pPr>
      <w:r w:rsidRPr="00E91822">
        <w:rPr>
          <w:rFonts w:cs="Arial"/>
          <w:b/>
          <w:iCs/>
        </w:rPr>
        <w:t>“</w:t>
      </w:r>
      <w:r w:rsidR="00004A64" w:rsidRPr="00E91822">
        <w:rPr>
          <w:rFonts w:cs="Arial"/>
          <w:b/>
          <w:iCs/>
        </w:rPr>
        <w:t>Land</w:t>
      </w:r>
      <w:r w:rsidRPr="00B14216">
        <w:rPr>
          <w:rFonts w:cs="Arial"/>
          <w:b/>
          <w:iCs/>
        </w:rPr>
        <w:t>”</w:t>
      </w:r>
      <w:r w:rsidRPr="00B14216">
        <w:rPr>
          <w:rFonts w:cs="Arial"/>
          <w:iCs/>
        </w:rPr>
        <w:t xml:space="preserve"> includes land under water</w:t>
      </w:r>
      <w:r w:rsidRPr="00B14216">
        <w:rPr>
          <w:rStyle w:val="FootnoteReference"/>
          <w:rFonts w:cs="Arial"/>
          <w:iCs/>
        </w:rPr>
        <w:footnoteReference w:id="7"/>
      </w:r>
      <w:r w:rsidRPr="00B14216">
        <w:rPr>
          <w:rFonts w:cs="Arial"/>
          <w:iCs/>
        </w:rPr>
        <w:t>.</w:t>
      </w:r>
    </w:p>
    <w:p w:rsidR="001E08E6" w:rsidRDefault="001E08E6" w:rsidP="007613F5">
      <w:pPr>
        <w:autoSpaceDE w:val="0"/>
        <w:autoSpaceDN w:val="0"/>
        <w:adjustRightInd w:val="0"/>
        <w:spacing w:line="276" w:lineRule="auto"/>
        <w:rPr>
          <w:rFonts w:cs="Arial"/>
          <w:iCs/>
        </w:rPr>
      </w:pPr>
    </w:p>
    <w:p w:rsidR="001E08E6" w:rsidRPr="009560C4" w:rsidRDefault="001E08E6" w:rsidP="007613F5">
      <w:pPr>
        <w:autoSpaceDE w:val="0"/>
        <w:autoSpaceDN w:val="0"/>
        <w:adjustRightInd w:val="0"/>
        <w:spacing w:line="276" w:lineRule="auto"/>
        <w:rPr>
          <w:rFonts w:cs="Arial"/>
          <w:i/>
          <w:iCs/>
        </w:rPr>
      </w:pPr>
      <w:r w:rsidRPr="009560C4">
        <w:rPr>
          <w:rFonts w:cs="Arial"/>
          <w:iCs/>
        </w:rPr>
        <w:t xml:space="preserve">Further definitions of “construction work” are contained in the </w:t>
      </w:r>
      <w:hyperlink r:id="rId16" w:history="1">
        <w:r w:rsidRPr="009560C4">
          <w:rPr>
            <w:rStyle w:val="Hyperlink"/>
            <w:rFonts w:cs="Arial"/>
            <w:i/>
            <w:iCs/>
          </w:rPr>
          <w:t>Construction Industry Training Fund Act 1993</w:t>
        </w:r>
      </w:hyperlink>
    </w:p>
    <w:p w:rsidR="001E08E6" w:rsidRDefault="001E08E6" w:rsidP="007613F5">
      <w:pPr>
        <w:autoSpaceDE w:val="0"/>
        <w:autoSpaceDN w:val="0"/>
        <w:adjustRightInd w:val="0"/>
        <w:spacing w:line="276" w:lineRule="auto"/>
        <w:rPr>
          <w:rFonts w:cs="Arial"/>
        </w:rPr>
      </w:pPr>
    </w:p>
    <w:p w:rsidR="001E08E6" w:rsidRPr="009560C4" w:rsidRDefault="001E08E6" w:rsidP="007613F5">
      <w:pPr>
        <w:autoSpaceDE w:val="0"/>
        <w:autoSpaceDN w:val="0"/>
        <w:adjustRightInd w:val="0"/>
        <w:spacing w:line="276" w:lineRule="auto"/>
        <w:rPr>
          <w:rFonts w:cs="Arial"/>
        </w:rPr>
      </w:pPr>
      <w:r w:rsidRPr="009560C4">
        <w:rPr>
          <w:rFonts w:cs="Arial"/>
        </w:rPr>
        <w:t xml:space="preserve">To test whether the procurement is classed as goods &amp; services in conjunction with </w:t>
      </w:r>
      <w:r>
        <w:rPr>
          <w:rFonts w:cs="Arial"/>
        </w:rPr>
        <w:t>construction work</w:t>
      </w:r>
      <w:r w:rsidRPr="009560C4">
        <w:rPr>
          <w:rFonts w:cs="Arial"/>
        </w:rPr>
        <w:t>, consider the following question:</w:t>
      </w:r>
    </w:p>
    <w:p w:rsidR="001E08E6" w:rsidRPr="009F3CCC" w:rsidRDefault="001E08E6" w:rsidP="007613F5">
      <w:pPr>
        <w:autoSpaceDE w:val="0"/>
        <w:autoSpaceDN w:val="0"/>
        <w:adjustRightInd w:val="0"/>
        <w:spacing w:line="276" w:lineRule="auto"/>
        <w:ind w:left="720"/>
        <w:rPr>
          <w:rFonts w:cs="Arial"/>
          <w:i/>
        </w:rPr>
      </w:pPr>
      <w:r w:rsidRPr="009F3CCC">
        <w:rPr>
          <w:rFonts w:cs="Arial"/>
          <w:i/>
        </w:rPr>
        <w:t xml:space="preserve">If the construction was not to take place or was not under consideration, would the procurement still proceed? </w:t>
      </w:r>
    </w:p>
    <w:p w:rsidR="006F607E" w:rsidRPr="00004A64" w:rsidRDefault="001E08E6" w:rsidP="00004A64">
      <w:pPr>
        <w:autoSpaceDE w:val="0"/>
        <w:autoSpaceDN w:val="0"/>
        <w:adjustRightInd w:val="0"/>
        <w:spacing w:line="276" w:lineRule="auto"/>
        <w:rPr>
          <w:rFonts w:cs="Arial"/>
        </w:rPr>
      </w:pPr>
      <w:r w:rsidRPr="009560C4">
        <w:rPr>
          <w:rFonts w:cs="Arial"/>
        </w:rPr>
        <w:t xml:space="preserve"> If the answer is yes, the procurement is ordinary goods and services.</w:t>
      </w:r>
    </w:p>
    <w:p w:rsidR="006F607E" w:rsidRDefault="006F607E" w:rsidP="007613F5">
      <w:pPr>
        <w:spacing w:line="276" w:lineRule="auto"/>
        <w:rPr>
          <w:b/>
        </w:rPr>
      </w:pPr>
    </w:p>
    <w:p w:rsidR="001E08E6" w:rsidRPr="009560C4" w:rsidRDefault="001E08E6" w:rsidP="007613F5">
      <w:pPr>
        <w:spacing w:line="276" w:lineRule="auto"/>
        <w:rPr>
          <w:b/>
        </w:rPr>
      </w:pPr>
      <w:r w:rsidRPr="009560C4">
        <w:rPr>
          <w:b/>
        </w:rPr>
        <w:t>1.</w:t>
      </w:r>
      <w:r>
        <w:rPr>
          <w:b/>
        </w:rPr>
        <w:t>4</w:t>
      </w:r>
      <w:r w:rsidRPr="009560C4">
        <w:rPr>
          <w:b/>
        </w:rPr>
        <w:tab/>
      </w:r>
      <w:r>
        <w:rPr>
          <w:b/>
        </w:rPr>
        <w:t>MAINTENANCE OR CONSTRUCTION</w:t>
      </w:r>
    </w:p>
    <w:p w:rsidR="006F607E" w:rsidRDefault="006F607E" w:rsidP="007613F5">
      <w:pPr>
        <w:autoSpaceDE w:val="0"/>
        <w:autoSpaceDN w:val="0"/>
        <w:adjustRightInd w:val="0"/>
        <w:spacing w:line="276" w:lineRule="auto"/>
        <w:rPr>
          <w:rFonts w:cs="Arial"/>
          <w:lang w:eastAsia="en-AU"/>
        </w:rPr>
      </w:pPr>
    </w:p>
    <w:p w:rsidR="001E08E6" w:rsidRDefault="001E08E6" w:rsidP="007613F5">
      <w:pPr>
        <w:autoSpaceDE w:val="0"/>
        <w:autoSpaceDN w:val="0"/>
        <w:adjustRightInd w:val="0"/>
        <w:spacing w:line="276" w:lineRule="auto"/>
        <w:rPr>
          <w:rFonts w:cs="Arial"/>
          <w:lang w:eastAsia="en-AU"/>
        </w:rPr>
      </w:pPr>
      <w:r>
        <w:rPr>
          <w:rFonts w:cs="Arial"/>
          <w:lang w:eastAsia="en-AU"/>
        </w:rPr>
        <w:t xml:space="preserve">This distinction affects whether the procurement is excluded from the </w:t>
      </w:r>
      <w:hyperlink r:id="rId17" w:history="1">
        <w:r w:rsidRPr="00F36289">
          <w:rPr>
            <w:rStyle w:val="Hyperlink"/>
            <w:i/>
            <w:iCs/>
          </w:rPr>
          <w:t>State Procurement Act</w:t>
        </w:r>
      </w:hyperlink>
      <w:r>
        <w:rPr>
          <w:i/>
          <w:iCs/>
          <w:color w:val="000000"/>
        </w:rPr>
        <w:t>.</w:t>
      </w:r>
    </w:p>
    <w:p w:rsidR="001E08E6" w:rsidRPr="00C10536" w:rsidRDefault="001E08E6" w:rsidP="007613F5">
      <w:pPr>
        <w:autoSpaceDE w:val="0"/>
        <w:autoSpaceDN w:val="0"/>
        <w:adjustRightInd w:val="0"/>
        <w:spacing w:line="276" w:lineRule="auto"/>
        <w:rPr>
          <w:rFonts w:cs="Arial"/>
          <w:lang w:eastAsia="en-AU"/>
        </w:rPr>
      </w:pPr>
      <w:r>
        <w:rPr>
          <w:rFonts w:cs="Arial"/>
          <w:lang w:eastAsia="en-AU"/>
        </w:rPr>
        <w:t>“</w:t>
      </w:r>
      <w:r w:rsidR="00004A64" w:rsidRPr="005A280D">
        <w:rPr>
          <w:rFonts w:cs="Arial"/>
          <w:b/>
          <w:lang w:eastAsia="en-AU"/>
        </w:rPr>
        <w:t>Repairing</w:t>
      </w:r>
      <w:r>
        <w:rPr>
          <w:rFonts w:cs="Arial"/>
          <w:lang w:eastAsia="en-AU"/>
        </w:rPr>
        <w:t xml:space="preserve">” is included in the definition of construction work. Although the </w:t>
      </w:r>
      <w:r w:rsidRPr="00B14216">
        <w:rPr>
          <w:rFonts w:cs="Arial"/>
          <w:lang w:eastAsia="en-AU"/>
        </w:rPr>
        <w:t xml:space="preserve">meaning of the </w:t>
      </w:r>
      <w:r w:rsidRPr="00346F70">
        <w:rPr>
          <w:rFonts w:cs="Arial"/>
          <w:lang w:eastAsia="en-AU"/>
        </w:rPr>
        <w:t xml:space="preserve">word </w:t>
      </w:r>
      <w:r w:rsidRPr="00346F70">
        <w:rPr>
          <w:rFonts w:cs="Arial"/>
          <w:b/>
          <w:lang w:eastAsia="en-AU"/>
        </w:rPr>
        <w:t>“</w:t>
      </w:r>
      <w:r w:rsidRPr="00346F70">
        <w:rPr>
          <w:rFonts w:cs="Arial"/>
          <w:b/>
          <w:iCs/>
          <w:lang w:eastAsia="en-AU"/>
        </w:rPr>
        <w:t>repairing”</w:t>
      </w:r>
      <w:r w:rsidRPr="00B14216">
        <w:rPr>
          <w:rFonts w:cs="Arial"/>
          <w:i/>
          <w:iCs/>
          <w:lang w:eastAsia="en-AU"/>
        </w:rPr>
        <w:t xml:space="preserve"> </w:t>
      </w:r>
      <w:r w:rsidR="00F36289">
        <w:rPr>
          <w:rFonts w:cs="Arial"/>
          <w:iCs/>
          <w:lang w:eastAsia="en-AU"/>
        </w:rPr>
        <w:t>i</w:t>
      </w:r>
      <w:r w:rsidRPr="00653C14">
        <w:rPr>
          <w:rFonts w:cs="Arial"/>
          <w:iCs/>
          <w:lang w:eastAsia="en-AU"/>
        </w:rPr>
        <w:t xml:space="preserve">s not defined in the </w:t>
      </w:r>
      <w:r w:rsidRPr="00BF4214">
        <w:rPr>
          <w:i/>
          <w:iCs/>
          <w:color w:val="000000"/>
        </w:rPr>
        <w:t>State Procurement Act</w:t>
      </w:r>
      <w:r w:rsidRPr="00653C14">
        <w:rPr>
          <w:iCs/>
          <w:color w:val="000000"/>
        </w:rPr>
        <w:t>, it</w:t>
      </w:r>
      <w:r w:rsidRPr="00653C14">
        <w:rPr>
          <w:rFonts w:cs="Arial"/>
          <w:lang w:eastAsia="en-AU"/>
        </w:rPr>
        <w:t xml:space="preserve"> has been given close consideration in many</w:t>
      </w:r>
      <w:r w:rsidRPr="00B14216">
        <w:rPr>
          <w:rFonts w:cs="Arial"/>
          <w:lang w:eastAsia="en-AU"/>
        </w:rPr>
        <w:t xml:space="preserve"> Federal tax</w:t>
      </w:r>
      <w:r w:rsidRPr="00182124">
        <w:rPr>
          <w:rFonts w:cs="Arial"/>
          <w:lang w:eastAsia="en-AU"/>
        </w:rPr>
        <w:t xml:space="preserve"> cases.</w:t>
      </w:r>
      <w:r>
        <w:rPr>
          <w:rFonts w:cs="Arial"/>
          <w:lang w:eastAsia="en-AU"/>
        </w:rPr>
        <w:t xml:space="preserve"> The following definition is from </w:t>
      </w:r>
      <w:r w:rsidRPr="00C10536">
        <w:rPr>
          <w:rFonts w:cs="Arial"/>
          <w:lang w:eastAsia="en-AU"/>
        </w:rPr>
        <w:t>the Australian Taxation Office</w:t>
      </w:r>
      <w:r>
        <w:rPr>
          <w:rStyle w:val="FootnoteReference"/>
          <w:rFonts w:cs="Arial"/>
          <w:lang w:eastAsia="en-AU"/>
        </w:rPr>
        <w:footnoteReference w:id="8"/>
      </w:r>
      <w:r w:rsidRPr="00C10536">
        <w:rPr>
          <w:rFonts w:cs="Arial"/>
          <w:lang w:eastAsia="en-AU"/>
        </w:rPr>
        <w:t xml:space="preserve"> </w:t>
      </w:r>
    </w:p>
    <w:p w:rsidR="001E08E6" w:rsidRPr="00C10536" w:rsidRDefault="001E08E6" w:rsidP="00F36289">
      <w:pPr>
        <w:numPr>
          <w:ilvl w:val="0"/>
          <w:numId w:val="23"/>
        </w:numPr>
        <w:spacing w:line="276" w:lineRule="auto"/>
        <w:ind w:left="284"/>
        <w:rPr>
          <w:i/>
        </w:rPr>
      </w:pPr>
      <w:bookmarkStart w:id="11" w:name="#atP13"/>
      <w:bookmarkStart w:id="12" w:name="atP13"/>
      <w:bookmarkStart w:id="13" w:name="#P13"/>
      <w:bookmarkStart w:id="14" w:name="P13"/>
      <w:bookmarkStart w:id="15" w:name="CentreContent"/>
      <w:bookmarkStart w:id="16" w:name="Content"/>
      <w:bookmarkEnd w:id="11"/>
      <w:bookmarkEnd w:id="12"/>
      <w:bookmarkEnd w:id="13"/>
      <w:bookmarkEnd w:id="14"/>
      <w:bookmarkEnd w:id="15"/>
      <w:bookmarkEnd w:id="16"/>
      <w:r w:rsidRPr="00C10536">
        <w:rPr>
          <w:i/>
        </w:rPr>
        <w:t xml:space="preserve">The word 'repairs' has its ordinary meaning. It ordinarily means the remedying or making good of defects in, damage to, or deterioration of, property to be repaired (being defects, damage or deterioration in a mechanical and physical sense) and contemplates the continued existence of the property. </w:t>
      </w:r>
    </w:p>
    <w:p w:rsidR="001E08E6" w:rsidRPr="00C10536" w:rsidRDefault="001E08E6" w:rsidP="00F36289">
      <w:pPr>
        <w:numPr>
          <w:ilvl w:val="0"/>
          <w:numId w:val="23"/>
        </w:numPr>
        <w:spacing w:line="276" w:lineRule="auto"/>
        <w:ind w:left="284"/>
        <w:rPr>
          <w:i/>
        </w:rPr>
      </w:pPr>
      <w:bookmarkStart w:id="17" w:name="#atP14"/>
      <w:bookmarkStart w:id="18" w:name="atP14"/>
      <w:bookmarkStart w:id="19" w:name="#P14"/>
      <w:bookmarkStart w:id="20" w:name="P14"/>
      <w:bookmarkEnd w:id="17"/>
      <w:bookmarkEnd w:id="18"/>
      <w:bookmarkEnd w:id="19"/>
      <w:bookmarkEnd w:id="20"/>
      <w:r w:rsidRPr="00C10536">
        <w:rPr>
          <w:i/>
        </w:rPr>
        <w:t xml:space="preserve">Work done to prevent or anticipate defects, damage or deterioration (in a mechanical or physical sense) in property is not in itself a 'repair' unless it is done in conjunction with remedying or making good defects in, damage to, or deterioration of, the property. </w:t>
      </w:r>
    </w:p>
    <w:p w:rsidR="001E08E6" w:rsidRPr="00C10536" w:rsidRDefault="001E08E6" w:rsidP="00F36289">
      <w:pPr>
        <w:numPr>
          <w:ilvl w:val="0"/>
          <w:numId w:val="23"/>
        </w:numPr>
        <w:spacing w:line="276" w:lineRule="auto"/>
        <w:ind w:left="284"/>
        <w:rPr>
          <w:i/>
        </w:rPr>
      </w:pPr>
      <w:bookmarkStart w:id="21" w:name="#atP15"/>
      <w:bookmarkStart w:id="22" w:name="atP15"/>
      <w:bookmarkStart w:id="23" w:name="#P15"/>
      <w:bookmarkStart w:id="24" w:name="P15"/>
      <w:bookmarkEnd w:id="21"/>
      <w:bookmarkEnd w:id="22"/>
      <w:bookmarkEnd w:id="23"/>
      <w:bookmarkEnd w:id="24"/>
      <w:r w:rsidRPr="00C10536">
        <w:rPr>
          <w:i/>
        </w:rPr>
        <w:t>Repair for the most part is occasional and partial. It involves restoration of the efficiency of function of the property being repaired without changing its character and may include restoration to its former appearance, form, state or condition. A repair merely replaces a part of something or corrects something that is already there and has become worn out or dilapidated. Works can fairly be described as 'repairs' if they are done to make good damage or deterioration that has occurred by ordinary wear and tear, by accidental or deliberate damage or by the operation of natural causes (whether expected or unexpected) during the passage of time.</w:t>
      </w:r>
    </w:p>
    <w:p w:rsidR="001E08E6" w:rsidRDefault="001E08E6" w:rsidP="007613F5">
      <w:pPr>
        <w:autoSpaceDE w:val="0"/>
        <w:autoSpaceDN w:val="0"/>
        <w:adjustRightInd w:val="0"/>
        <w:spacing w:line="276" w:lineRule="auto"/>
        <w:rPr>
          <w:rFonts w:cs="Arial"/>
          <w:lang w:eastAsia="en-AU"/>
        </w:rPr>
      </w:pPr>
      <w:r>
        <w:rPr>
          <w:rFonts w:cs="Arial"/>
          <w:lang w:eastAsia="en-AU"/>
        </w:rPr>
        <w:t>In summary, “r</w:t>
      </w:r>
      <w:r w:rsidRPr="00182124">
        <w:rPr>
          <w:rFonts w:cs="Arial"/>
          <w:iCs/>
          <w:lang w:eastAsia="en-AU"/>
        </w:rPr>
        <w:t>epair</w:t>
      </w:r>
      <w:r>
        <w:rPr>
          <w:rFonts w:cs="Arial"/>
          <w:iCs/>
          <w:lang w:eastAsia="en-AU"/>
        </w:rPr>
        <w:t>ing”</w:t>
      </w:r>
      <w:r w:rsidRPr="00182124">
        <w:rPr>
          <w:rFonts w:cs="Arial"/>
          <w:iCs/>
          <w:lang w:eastAsia="en-AU"/>
        </w:rPr>
        <w:t xml:space="preserve"> </w:t>
      </w:r>
      <w:r w:rsidRPr="00182124">
        <w:rPr>
          <w:rFonts w:cs="Arial"/>
          <w:lang w:eastAsia="en-AU"/>
        </w:rPr>
        <w:t xml:space="preserve">constitutes the restoration of an item to its previous condition without changing its character. </w:t>
      </w:r>
      <w:r>
        <w:rPr>
          <w:rFonts w:cs="Arial"/>
          <w:lang w:eastAsia="en-AU"/>
        </w:rPr>
        <w:t xml:space="preserve">It is therefore excluded from the </w:t>
      </w:r>
      <w:r w:rsidRPr="00BF4214">
        <w:rPr>
          <w:i/>
          <w:iCs/>
          <w:color w:val="000000"/>
        </w:rPr>
        <w:t>State Procurement Act</w:t>
      </w:r>
      <w:r>
        <w:rPr>
          <w:rFonts w:cs="Arial"/>
          <w:lang w:eastAsia="en-AU"/>
        </w:rPr>
        <w:t xml:space="preserve"> if over $150,000.</w:t>
      </w:r>
      <w:r w:rsidRPr="00B14216">
        <w:rPr>
          <w:rFonts w:cs="Arial"/>
          <w:lang w:eastAsia="en-AU"/>
        </w:rPr>
        <w:t xml:space="preserve"> </w:t>
      </w:r>
    </w:p>
    <w:p w:rsidR="001E08E6" w:rsidRDefault="001E08E6" w:rsidP="007613F5">
      <w:pPr>
        <w:autoSpaceDE w:val="0"/>
        <w:autoSpaceDN w:val="0"/>
        <w:adjustRightInd w:val="0"/>
        <w:spacing w:line="276" w:lineRule="auto"/>
        <w:rPr>
          <w:rFonts w:ascii="Helvetica" w:hAnsi="Helvetica" w:cs="Helvetica"/>
          <w:lang w:eastAsia="en-AU"/>
        </w:rPr>
      </w:pPr>
      <w:r>
        <w:rPr>
          <w:rFonts w:ascii="Helvetica-Oblique" w:hAnsi="Helvetica-Oblique" w:cs="Helvetica-Oblique"/>
          <w:b/>
          <w:iCs/>
          <w:lang w:eastAsia="en-AU"/>
        </w:rPr>
        <w:t>“</w:t>
      </w:r>
      <w:r w:rsidR="00004A64">
        <w:rPr>
          <w:rFonts w:ascii="Helvetica-Oblique" w:hAnsi="Helvetica-Oblique" w:cs="Helvetica-Oblique"/>
          <w:b/>
          <w:iCs/>
          <w:lang w:eastAsia="en-AU"/>
        </w:rPr>
        <w:t>Maintenance</w:t>
      </w:r>
      <w:r>
        <w:rPr>
          <w:rFonts w:ascii="Helvetica-Oblique" w:hAnsi="Helvetica-Oblique" w:cs="Helvetica-Oblique"/>
          <w:b/>
          <w:iCs/>
          <w:lang w:eastAsia="en-AU"/>
        </w:rPr>
        <w:t>”</w:t>
      </w:r>
      <w:r>
        <w:rPr>
          <w:rFonts w:ascii="Helvetica-Oblique" w:hAnsi="Helvetica-Oblique" w:cs="Helvetica-Oblique"/>
          <w:i/>
          <w:iCs/>
          <w:lang w:eastAsia="en-AU"/>
        </w:rPr>
        <w:t xml:space="preserve"> </w:t>
      </w:r>
      <w:r>
        <w:rPr>
          <w:rFonts w:ascii="Helvetica" w:hAnsi="Helvetica" w:cs="Helvetica"/>
          <w:lang w:eastAsia="en-AU"/>
        </w:rPr>
        <w:t>is work of a preventative nature that avoids the need for later repair.</w:t>
      </w:r>
    </w:p>
    <w:p w:rsidR="00F2300E" w:rsidRDefault="00F2300E" w:rsidP="007613F5">
      <w:pPr>
        <w:autoSpaceDE w:val="0"/>
        <w:autoSpaceDN w:val="0"/>
        <w:adjustRightInd w:val="0"/>
        <w:spacing w:line="276" w:lineRule="auto"/>
        <w:rPr>
          <w:rFonts w:ascii="Helvetica" w:hAnsi="Helvetica" w:cs="Helvetica"/>
          <w:lang w:eastAsia="en-AU"/>
        </w:rPr>
      </w:pPr>
    </w:p>
    <w:p w:rsidR="00F2300E" w:rsidRPr="0053017B" w:rsidRDefault="00F2300E" w:rsidP="007613F5">
      <w:pPr>
        <w:autoSpaceDE w:val="0"/>
        <w:autoSpaceDN w:val="0"/>
        <w:adjustRightInd w:val="0"/>
        <w:spacing w:line="276" w:lineRule="auto"/>
      </w:pPr>
    </w:p>
    <w:p w:rsidR="001E08E6" w:rsidRPr="00F2300E" w:rsidRDefault="001E08E6" w:rsidP="00F2300E">
      <w:pPr>
        <w:pStyle w:val="Heading1"/>
        <w:spacing w:line="276" w:lineRule="auto"/>
      </w:pPr>
      <w:r w:rsidRPr="007613F5">
        <w:t>2</w:t>
      </w:r>
      <w:r w:rsidRPr="009560C4">
        <w:tab/>
        <w:t>PROCUREMENT DEFINITIONS</w:t>
      </w:r>
      <w:bookmarkEnd w:id="9"/>
    </w:p>
    <w:p w:rsidR="006F607E" w:rsidRDefault="006F607E" w:rsidP="007613F5">
      <w:pPr>
        <w:spacing w:line="276" w:lineRule="auto"/>
      </w:pPr>
      <w:r>
        <w:t>For a</w:t>
      </w:r>
      <w:r w:rsidR="001E08E6">
        <w:t xml:space="preserve"> comprehensive set of definitions, refer to the State Procurement Board </w:t>
      </w:r>
      <w:hyperlink r:id="rId18" w:history="1">
        <w:r w:rsidR="00136A70" w:rsidRPr="00136A70">
          <w:rPr>
            <w:rStyle w:val="Hyperlink"/>
          </w:rPr>
          <w:t xml:space="preserve">Glossary of </w:t>
        </w:r>
        <w:r w:rsidR="001E08E6" w:rsidRPr="00136A70">
          <w:rPr>
            <w:rStyle w:val="Hyperlink"/>
          </w:rPr>
          <w:t>Procurement</w:t>
        </w:r>
        <w:r w:rsidR="00136A70" w:rsidRPr="00136A70">
          <w:rPr>
            <w:rStyle w:val="Hyperlink"/>
          </w:rPr>
          <w:t xml:space="preserve"> Terms</w:t>
        </w:r>
      </w:hyperlink>
      <w:r w:rsidR="00136A70">
        <w:t xml:space="preserve">. </w:t>
      </w:r>
    </w:p>
    <w:p w:rsidR="001E08E6" w:rsidRPr="009560C4" w:rsidRDefault="001E08E6" w:rsidP="007613F5">
      <w:pPr>
        <w:spacing w:line="276" w:lineRule="auto"/>
      </w:pPr>
    </w:p>
    <w:p w:rsidR="001E08E6" w:rsidRDefault="001E08E6" w:rsidP="00EA6436">
      <w:pPr>
        <w:pStyle w:val="Body"/>
        <w:numPr>
          <w:ilvl w:val="0"/>
          <w:numId w:val="24"/>
        </w:numPr>
        <w:spacing w:after="0" w:line="276" w:lineRule="auto"/>
        <w:ind w:left="426" w:hanging="426"/>
      </w:pPr>
      <w:r w:rsidRPr="009560C4">
        <w:rPr>
          <w:u w:val="single"/>
        </w:rPr>
        <w:t>Multi-stage Tendering</w:t>
      </w:r>
      <w:r w:rsidRPr="009560C4">
        <w:t xml:space="preserve"> – Any approach to tendering where there are one or more stages that companies must satisfy before being permitted to submit a tender.</w:t>
      </w:r>
      <w:r w:rsidR="00007CF7">
        <w:t xml:space="preserve"> </w:t>
      </w:r>
      <w:r w:rsidRPr="009560C4">
        <w:t>Points (b) to (</w:t>
      </w:r>
      <w:r>
        <w:t>d</w:t>
      </w:r>
      <w:r w:rsidRPr="009560C4">
        <w:t xml:space="preserve">) below relate to </w:t>
      </w:r>
      <w:r>
        <w:t xml:space="preserve">the first stage of </w:t>
      </w:r>
      <w:r w:rsidRPr="009560C4">
        <w:t>Multi Stage Tendering.</w:t>
      </w:r>
    </w:p>
    <w:p w:rsidR="001E08E6" w:rsidRDefault="001E08E6" w:rsidP="00EA6436">
      <w:pPr>
        <w:pStyle w:val="Body"/>
        <w:numPr>
          <w:ilvl w:val="0"/>
          <w:numId w:val="24"/>
        </w:numPr>
        <w:spacing w:after="0" w:line="276" w:lineRule="auto"/>
        <w:ind w:left="426" w:hanging="426"/>
      </w:pPr>
      <w:r w:rsidRPr="009560C4">
        <w:rPr>
          <w:u w:val="single"/>
        </w:rPr>
        <w:t>Prequalification</w:t>
      </w:r>
      <w:r w:rsidRPr="009560C4">
        <w:t xml:space="preserve"> - Preselection of potential tenderers who will subsequently be eligible to tender for contracts in a specific category for a fixed period.</w:t>
      </w:r>
      <w:r w:rsidR="00007CF7">
        <w:t xml:space="preserve"> </w:t>
      </w:r>
      <w:r>
        <w:t>Also referred to as a</w:t>
      </w:r>
      <w:r>
        <w:br/>
        <w:t xml:space="preserve">“Multi-Use List”) </w:t>
      </w:r>
    </w:p>
    <w:p w:rsidR="001E08E6" w:rsidRDefault="001E08E6" w:rsidP="00EA6436">
      <w:pPr>
        <w:pStyle w:val="Body"/>
        <w:numPr>
          <w:ilvl w:val="0"/>
          <w:numId w:val="24"/>
        </w:numPr>
        <w:spacing w:after="0" w:line="276" w:lineRule="auto"/>
        <w:ind w:left="426" w:hanging="426"/>
      </w:pPr>
      <w:r w:rsidRPr="009560C4">
        <w:rPr>
          <w:u w:val="single"/>
        </w:rPr>
        <w:t>Expression of Interest</w:t>
      </w:r>
      <w:r w:rsidRPr="009560C4">
        <w:t xml:space="preserve"> (E</w:t>
      </w:r>
      <w:r>
        <w:t>o</w:t>
      </w:r>
      <w:r w:rsidRPr="009560C4">
        <w:t>I) –The process of inviting companies</w:t>
      </w:r>
      <w:r>
        <w:t xml:space="preserve"> or consortia (Registrants)</w:t>
      </w:r>
      <w:r w:rsidRPr="009560C4">
        <w:t xml:space="preserve"> to register their interested in a future contract</w:t>
      </w:r>
      <w:r>
        <w:t xml:space="preserve"> and may also be referred to as pre-registration</w:t>
      </w:r>
      <w:r w:rsidRPr="009560C4">
        <w:t>.</w:t>
      </w:r>
      <w:r w:rsidR="00007CF7">
        <w:t xml:space="preserve"> </w:t>
      </w:r>
      <w:r w:rsidRPr="009560C4">
        <w:t>An EoI is the first stage of a multistage process, does not contain price information and is used to create a shortlist.</w:t>
      </w:r>
      <w:r w:rsidR="00007CF7">
        <w:t xml:space="preserve"> </w:t>
      </w:r>
      <w:r w:rsidRPr="009560C4">
        <w:t>It may be followed by a Request for Tender or Request for Proposal.</w:t>
      </w:r>
    </w:p>
    <w:p w:rsidR="001E08E6" w:rsidRDefault="001E08E6" w:rsidP="00EA6436">
      <w:pPr>
        <w:pStyle w:val="Body"/>
        <w:numPr>
          <w:ilvl w:val="0"/>
          <w:numId w:val="24"/>
        </w:numPr>
        <w:spacing w:after="0" w:line="276" w:lineRule="auto"/>
        <w:ind w:left="426" w:hanging="426"/>
      </w:pPr>
      <w:r w:rsidRPr="009560C4">
        <w:rPr>
          <w:u w:val="single"/>
        </w:rPr>
        <w:t>Request for Information</w:t>
      </w:r>
      <w:r w:rsidRPr="009560C4">
        <w:t xml:space="preserve"> (R</w:t>
      </w:r>
      <w:r>
        <w:t>f</w:t>
      </w:r>
      <w:r w:rsidRPr="009560C4">
        <w:t xml:space="preserve">I) </w:t>
      </w:r>
      <w:r>
        <w:t xml:space="preserve">(or Market Sounding) </w:t>
      </w:r>
      <w:r w:rsidRPr="009560C4">
        <w:t>– An invitation to companies</w:t>
      </w:r>
      <w:r>
        <w:t xml:space="preserve"> or consortia</w:t>
      </w:r>
      <w:r w:rsidRPr="009560C4">
        <w:t xml:space="preserve"> to submit information about their capability, products and to provide suggestions about possible contract structure or approaches.</w:t>
      </w:r>
      <w:r w:rsidR="00007CF7">
        <w:t xml:space="preserve"> </w:t>
      </w:r>
      <w:r w:rsidRPr="009560C4">
        <w:t>These are not formally assessed and are part of the external market place review.</w:t>
      </w:r>
    </w:p>
    <w:p w:rsidR="001E08E6" w:rsidRDefault="001E08E6" w:rsidP="00EA6436">
      <w:pPr>
        <w:pStyle w:val="Body"/>
        <w:numPr>
          <w:ilvl w:val="0"/>
          <w:numId w:val="24"/>
        </w:numPr>
        <w:spacing w:after="0" w:line="276" w:lineRule="auto"/>
        <w:ind w:left="426" w:hanging="426"/>
      </w:pPr>
      <w:r w:rsidRPr="009560C4">
        <w:rPr>
          <w:u w:val="single"/>
        </w:rPr>
        <w:t>Request for Proposal</w:t>
      </w:r>
      <w:r w:rsidRPr="009560C4">
        <w:t xml:space="preserve"> (R</w:t>
      </w:r>
      <w:r>
        <w:t>f</w:t>
      </w:r>
      <w:r w:rsidRPr="009560C4">
        <w:t>P) – An invitation for companies</w:t>
      </w:r>
      <w:r>
        <w:t xml:space="preserve"> or consortia</w:t>
      </w:r>
      <w:r w:rsidRPr="009560C4">
        <w:t xml:space="preserve"> </w:t>
      </w:r>
      <w:r>
        <w:t xml:space="preserve">(Proponents) </w:t>
      </w:r>
      <w:r w:rsidRPr="009560C4">
        <w:t xml:space="preserve">to submit an offer with scope for alternative approaches, innovation and varying performance </w:t>
      </w:r>
      <w:r>
        <w:t>levels.</w:t>
      </w:r>
      <w:r w:rsidR="00007CF7">
        <w:t xml:space="preserve"> </w:t>
      </w:r>
      <w:r>
        <w:t>It may be used in either multi stage or</w:t>
      </w:r>
      <w:r w:rsidRPr="009560C4">
        <w:t xml:space="preserve"> a single stage process</w:t>
      </w:r>
      <w:r>
        <w:t>es</w:t>
      </w:r>
      <w:r w:rsidRPr="009560C4">
        <w:t>.</w:t>
      </w:r>
    </w:p>
    <w:p w:rsidR="001E08E6" w:rsidRDefault="001E08E6" w:rsidP="00EA6436">
      <w:pPr>
        <w:pStyle w:val="Body"/>
        <w:numPr>
          <w:ilvl w:val="0"/>
          <w:numId w:val="24"/>
        </w:numPr>
        <w:spacing w:after="0" w:line="276" w:lineRule="auto"/>
        <w:ind w:left="426" w:hanging="426"/>
      </w:pPr>
      <w:r w:rsidRPr="009560C4">
        <w:rPr>
          <w:u w:val="single"/>
        </w:rPr>
        <w:t>Request for Tender</w:t>
      </w:r>
      <w:r>
        <w:t xml:space="preserve"> (Rf</w:t>
      </w:r>
      <w:r w:rsidRPr="009560C4">
        <w:t>T) – An invitation for companies</w:t>
      </w:r>
      <w:r>
        <w:t xml:space="preserve"> or consortia (Tenderers)</w:t>
      </w:r>
      <w:r w:rsidRPr="009560C4">
        <w:t xml:space="preserve"> to submit a tender in response to a </w:t>
      </w:r>
      <w:r>
        <w:t>DPTI</w:t>
      </w:r>
      <w:r w:rsidRPr="009560C4">
        <w:t xml:space="preserve"> specification that specifies the level of performance or output required (c/f R</w:t>
      </w:r>
      <w:r>
        <w:t>f</w:t>
      </w:r>
      <w:r w:rsidRPr="009560C4">
        <w:t>P).</w:t>
      </w:r>
      <w:r w:rsidR="00007CF7">
        <w:t xml:space="preserve"> </w:t>
      </w:r>
      <w:r>
        <w:t>I</w:t>
      </w:r>
      <w:r w:rsidRPr="009560C4">
        <w:t xml:space="preserve">t </w:t>
      </w:r>
      <w:r>
        <w:t>may be used in an open tender (ie publicly advertised), selective tendering, with prequalification or as a second stage procurement after respondents have been shortlisted through an</w:t>
      </w:r>
      <w:r w:rsidRPr="009560C4">
        <w:t xml:space="preserve"> E</w:t>
      </w:r>
      <w:r>
        <w:t>o</w:t>
      </w:r>
      <w:r w:rsidRPr="009560C4">
        <w:t>I</w:t>
      </w:r>
      <w:r>
        <w:t xml:space="preserve"> process</w:t>
      </w:r>
      <w:r w:rsidRPr="009560C4">
        <w:t>.</w:t>
      </w:r>
    </w:p>
    <w:p w:rsidR="00136A70" w:rsidRPr="00136A70" w:rsidRDefault="00136A70" w:rsidP="00136A70">
      <w:pPr>
        <w:pStyle w:val="Body"/>
        <w:numPr>
          <w:ilvl w:val="0"/>
          <w:numId w:val="24"/>
        </w:numPr>
        <w:spacing w:after="0" w:line="276" w:lineRule="auto"/>
        <w:ind w:left="426" w:hanging="426"/>
      </w:pPr>
      <w:r w:rsidRPr="00136A70">
        <w:rPr>
          <w:u w:val="single"/>
        </w:rPr>
        <w:t>Secondary Procurement</w:t>
      </w:r>
      <w:r>
        <w:t xml:space="preserve"> - A secondary procurement process is one undertaken by a public authority to select a supplier from a </w:t>
      </w:r>
      <w:r w:rsidRPr="00136A70">
        <w:rPr>
          <w:i/>
        </w:rPr>
        <w:t>Panel Contract</w:t>
      </w:r>
      <w:r>
        <w:t>, for a particular procurement need.</w:t>
      </w:r>
    </w:p>
    <w:p w:rsidR="001E08E6" w:rsidRDefault="001E08E6" w:rsidP="00EA6436">
      <w:pPr>
        <w:pStyle w:val="Body"/>
        <w:numPr>
          <w:ilvl w:val="0"/>
          <w:numId w:val="24"/>
        </w:numPr>
        <w:spacing w:after="0" w:line="276" w:lineRule="auto"/>
        <w:ind w:left="426" w:hanging="426"/>
      </w:pPr>
      <w:r w:rsidRPr="009560C4">
        <w:rPr>
          <w:u w:val="single"/>
        </w:rPr>
        <w:t>Selective Tendering</w:t>
      </w:r>
      <w:r w:rsidRPr="009560C4">
        <w:t xml:space="preserve"> – Where</w:t>
      </w:r>
      <w:r w:rsidR="00EA6436">
        <w:t xml:space="preserve"> a limited number of companies</w:t>
      </w:r>
      <w:r w:rsidRPr="009560C4">
        <w:t xml:space="preserve"> are invited to submit a bid in lieu of a full public tender call.</w:t>
      </w:r>
      <w:r w:rsidR="00007CF7">
        <w:t xml:space="preserve"> </w:t>
      </w:r>
      <w:r w:rsidRPr="009560C4">
        <w:t>It is mainly used for low value purchases, unless preceded by an Expression of Interest.</w:t>
      </w:r>
    </w:p>
    <w:p w:rsidR="001E08E6" w:rsidRDefault="001E08E6" w:rsidP="00EA6436">
      <w:pPr>
        <w:pStyle w:val="Body"/>
        <w:numPr>
          <w:ilvl w:val="0"/>
          <w:numId w:val="24"/>
        </w:numPr>
        <w:spacing w:after="0" w:line="276" w:lineRule="auto"/>
        <w:ind w:left="426" w:hanging="426"/>
      </w:pPr>
      <w:r w:rsidRPr="009560C4">
        <w:rPr>
          <w:u w:val="single"/>
        </w:rPr>
        <w:t>Seeking a Single Offer</w:t>
      </w:r>
      <w:r w:rsidRPr="009560C4">
        <w:rPr>
          <w:i/>
        </w:rPr>
        <w:t xml:space="preserve"> - </w:t>
      </w:r>
      <w:r w:rsidRPr="009560C4">
        <w:t>a procurement process where an offer has been obtained from, or negotiated with, a single supplier (referred to as “Limited Tendering” in the US Free Trade Agreement).</w:t>
      </w:r>
    </w:p>
    <w:p w:rsidR="001E08E6" w:rsidRDefault="001E08E6" w:rsidP="00EA6436">
      <w:pPr>
        <w:pStyle w:val="Body"/>
        <w:numPr>
          <w:ilvl w:val="0"/>
          <w:numId w:val="24"/>
        </w:numPr>
        <w:spacing w:after="0" w:line="276" w:lineRule="auto"/>
        <w:ind w:left="426" w:hanging="426"/>
      </w:pPr>
      <w:r w:rsidRPr="009560C4">
        <w:rPr>
          <w:u w:val="single"/>
        </w:rPr>
        <w:t>Panel Contract</w:t>
      </w:r>
      <w:r w:rsidRPr="009560C4">
        <w:t xml:space="preserve"> – a system where contracts are set up in advance with multiple suppliers for repeated low value purchases that will take place over a long time frame. </w:t>
      </w:r>
    </w:p>
    <w:p w:rsidR="00583612" w:rsidRPr="001E08E6" w:rsidRDefault="001E08E6" w:rsidP="00EA6436">
      <w:pPr>
        <w:pStyle w:val="Body"/>
        <w:numPr>
          <w:ilvl w:val="0"/>
          <w:numId w:val="24"/>
        </w:numPr>
        <w:spacing w:after="0" w:line="276" w:lineRule="auto"/>
        <w:ind w:left="426" w:hanging="426"/>
      </w:pPr>
      <w:r w:rsidRPr="009560C4">
        <w:rPr>
          <w:u w:val="single"/>
        </w:rPr>
        <w:t>Acquisition Plan</w:t>
      </w:r>
      <w:r w:rsidRPr="009560C4">
        <w:t xml:space="preserve"> – a plan which outlines the procurement process and summarises the key issues.</w:t>
      </w:r>
      <w:r w:rsidR="00007CF7">
        <w:t xml:space="preserve"> </w:t>
      </w:r>
      <w:r w:rsidRPr="009560C4">
        <w:t xml:space="preserve">The plan must be approved </w:t>
      </w:r>
      <w:r>
        <w:t xml:space="preserve">before </w:t>
      </w:r>
      <w:r w:rsidRPr="009560C4">
        <w:t>tendering commences.</w:t>
      </w:r>
    </w:p>
    <w:sectPr w:rsidR="00583612" w:rsidRPr="001E08E6" w:rsidSect="007613F5">
      <w:headerReference w:type="default" r:id="rId19"/>
      <w:footerReference w:type="default" r:id="rId20"/>
      <w:pgSz w:w="11907" w:h="16840" w:code="9"/>
      <w:pgMar w:top="1985"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7E" w:rsidRDefault="00954B7E">
      <w:r>
        <w:separator/>
      </w:r>
    </w:p>
  </w:endnote>
  <w:endnote w:type="continuationSeparator" w:id="0">
    <w:p w:rsidR="00954B7E" w:rsidRDefault="0095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0E" w:rsidRPr="001520B5" w:rsidRDefault="00F2300E" w:rsidP="00F2300E">
    <w:pPr>
      <w:tabs>
        <w:tab w:val="left" w:pos="1985"/>
        <w:tab w:val="left" w:pos="2835"/>
        <w:tab w:val="right" w:pos="4536"/>
        <w:tab w:val="right" w:pos="9027"/>
      </w:tabs>
      <w:spacing w:line="259" w:lineRule="auto"/>
      <w:rPr>
        <w:rFonts w:eastAsia="Calibri" w:cs="Arial"/>
        <w:sz w:val="16"/>
        <w:szCs w:val="16"/>
      </w:rPr>
    </w:pPr>
    <w:r>
      <w:rPr>
        <w:rFonts w:eastAsia="Calibri" w:cs="Arial"/>
        <w:sz w:val="16"/>
        <w:szCs w:val="16"/>
      </w:rPr>
      <w:t>ISSUE DATE:</w:t>
    </w:r>
    <w:r>
      <w:rPr>
        <w:rFonts w:eastAsia="Calibri" w:cs="Arial"/>
        <w:sz w:val="16"/>
        <w:szCs w:val="16"/>
      </w:rPr>
      <w:tab/>
    </w:r>
    <w:bookmarkStart w:id="25" w:name="IssueDate"/>
    <w:bookmarkEnd w:id="25"/>
    <w:r>
      <w:rPr>
        <w:rFonts w:eastAsia="Calibri" w:cs="Arial"/>
        <w:sz w:val="16"/>
        <w:szCs w:val="16"/>
      </w:rPr>
      <w:t>9 March 2018</w:t>
    </w:r>
  </w:p>
  <w:p w:rsidR="00F2300E" w:rsidRDefault="00F2300E" w:rsidP="00F2300E">
    <w:pPr>
      <w:tabs>
        <w:tab w:val="left" w:pos="1985"/>
        <w:tab w:val="left" w:pos="2835"/>
        <w:tab w:val="right" w:pos="4536"/>
        <w:tab w:val="right" w:pos="9027"/>
      </w:tabs>
      <w:spacing w:line="259" w:lineRule="auto"/>
      <w:rPr>
        <w:rFonts w:eastAsia="Calibri" w:cs="Arial"/>
        <w:sz w:val="16"/>
        <w:szCs w:val="16"/>
      </w:rPr>
    </w:pPr>
    <w:r>
      <w:rPr>
        <w:rFonts w:eastAsia="Calibri" w:cs="Arial"/>
        <w:noProof/>
        <w:sz w:val="16"/>
        <w:szCs w:val="16"/>
        <w:lang w:eastAsia="en-AU"/>
      </w:rPr>
      <w:drawing>
        <wp:anchor distT="0" distB="0" distL="114300" distR="114300" simplePos="0" relativeHeight="251661312" behindDoc="0" locked="0" layoutInCell="1" allowOverlap="1">
          <wp:simplePos x="0" y="0"/>
          <wp:positionH relativeFrom="page">
            <wp:align>right</wp:align>
          </wp:positionH>
          <wp:positionV relativeFrom="page">
            <wp:posOffset>9514205</wp:posOffset>
          </wp:positionV>
          <wp:extent cx="3380740" cy="723900"/>
          <wp:effectExtent l="0" t="0" r="0" b="0"/>
          <wp:wrapSquare wrapText="bothSides"/>
          <wp:docPr id="4" name="Picture 4" descr="C:\Users\SOUTHAM\Documents\Word Templates - New Branding\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UTHAM\Documents\Word Templates - New Branding\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7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sz w:val="16"/>
        <w:szCs w:val="16"/>
      </w:rPr>
      <w:t>REVIEW DATE:</w:t>
    </w:r>
    <w:r>
      <w:rPr>
        <w:rFonts w:eastAsia="Calibri" w:cs="Arial"/>
        <w:sz w:val="16"/>
        <w:szCs w:val="16"/>
      </w:rPr>
      <w:tab/>
    </w:r>
    <w:bookmarkStart w:id="26" w:name="ReviewDate"/>
    <w:bookmarkEnd w:id="26"/>
    <w:r>
      <w:rPr>
        <w:rFonts w:eastAsia="Calibri" w:cs="Arial"/>
        <w:sz w:val="16"/>
        <w:szCs w:val="16"/>
      </w:rPr>
      <w:t>9 March 2020</w:t>
    </w:r>
  </w:p>
  <w:p w:rsidR="00F2300E" w:rsidRPr="001520B5" w:rsidRDefault="00F2300E" w:rsidP="00F2300E">
    <w:pPr>
      <w:tabs>
        <w:tab w:val="left" w:pos="1985"/>
        <w:tab w:val="left" w:pos="2835"/>
        <w:tab w:val="right" w:pos="4536"/>
        <w:tab w:val="right" w:pos="9027"/>
      </w:tabs>
      <w:spacing w:line="259" w:lineRule="auto"/>
      <w:rPr>
        <w:rFonts w:eastAsia="Calibri" w:cs="Arial"/>
        <w:sz w:val="16"/>
        <w:szCs w:val="16"/>
      </w:rPr>
    </w:pPr>
    <w:r>
      <w:rPr>
        <w:rFonts w:eastAsia="Calibri" w:cs="Arial"/>
        <w:sz w:val="16"/>
        <w:szCs w:val="16"/>
      </w:rPr>
      <w:t>RESPONSIBLE OFFICER</w:t>
    </w:r>
    <w:bookmarkStart w:id="27" w:name="ResponsibleOfficer"/>
    <w:bookmarkEnd w:id="27"/>
    <w:r>
      <w:rPr>
        <w:rFonts w:eastAsia="Calibri" w:cs="Arial"/>
        <w:sz w:val="16"/>
        <w:szCs w:val="16"/>
      </w:rPr>
      <w:t>: Team Leader, Procurement Policy &amp; Process</w:t>
    </w:r>
  </w:p>
  <w:p w:rsidR="00F2300E" w:rsidRDefault="00F2300E" w:rsidP="00F2300E">
    <w:pPr>
      <w:pStyle w:val="Footer"/>
      <w:tabs>
        <w:tab w:val="left" w:pos="1985"/>
        <w:tab w:val="left" w:pos="2835"/>
        <w:tab w:val="right" w:pos="4536"/>
        <w:tab w:val="right" w:pos="9027"/>
      </w:tabs>
      <w:rPr>
        <w:rFonts w:eastAsia="Calibri" w:cs="Arial"/>
        <w:sz w:val="16"/>
        <w:szCs w:val="16"/>
      </w:rPr>
    </w:pPr>
    <w:r>
      <w:rPr>
        <w:rFonts w:eastAsia="Calibri" w:cs="Arial"/>
        <w:sz w:val="16"/>
        <w:szCs w:val="16"/>
      </w:rPr>
      <w:t>CONTACT OFFICER</w:t>
    </w:r>
    <w:bookmarkStart w:id="28" w:name="ContactOfficer"/>
    <w:bookmarkEnd w:id="28"/>
    <w:r>
      <w:rPr>
        <w:rFonts w:eastAsia="Calibri" w:cs="Arial"/>
        <w:sz w:val="16"/>
        <w:szCs w:val="16"/>
      </w:rPr>
      <w:t>:</w:t>
    </w:r>
    <w:r>
      <w:rPr>
        <w:rFonts w:eastAsia="Calibri" w:cs="Arial"/>
        <w:sz w:val="16"/>
        <w:szCs w:val="16"/>
      </w:rPr>
      <w:tab/>
      <w:t>Policy Manager</w:t>
    </w:r>
  </w:p>
  <w:p w:rsidR="00F2300E" w:rsidRDefault="00F2300E" w:rsidP="00F2300E">
    <w:pPr>
      <w:pStyle w:val="Footer"/>
      <w:tabs>
        <w:tab w:val="left" w:pos="1985"/>
        <w:tab w:val="left" w:pos="2835"/>
        <w:tab w:val="right" w:pos="4536"/>
        <w:tab w:val="right" w:pos="9027"/>
      </w:tabs>
      <w:rPr>
        <w:rFonts w:eastAsia="Calibri" w:cs="Arial"/>
        <w:sz w:val="16"/>
        <w:szCs w:val="16"/>
      </w:rPr>
    </w:pPr>
    <w:r>
      <w:rPr>
        <w:rFonts w:eastAsia="Calibri" w:cs="Arial"/>
        <w:sz w:val="16"/>
        <w:szCs w:val="16"/>
      </w:rPr>
      <w:t>FILE:</w:t>
    </w:r>
    <w:r>
      <w:rPr>
        <w:rFonts w:eastAsia="Calibri" w:cs="Arial"/>
        <w:sz w:val="16"/>
        <w:szCs w:val="16"/>
      </w:rPr>
      <w:tab/>
    </w:r>
    <w:bookmarkStart w:id="29" w:name="File"/>
    <w:bookmarkEnd w:id="29"/>
    <w:r>
      <w:rPr>
        <w:rFonts w:eastAsia="Calibri" w:cs="Arial"/>
        <w:sz w:val="16"/>
        <w:szCs w:val="16"/>
      </w:rPr>
      <w:t>2017/16720/01</w:t>
    </w:r>
  </w:p>
  <w:p w:rsidR="000F6127" w:rsidRPr="00F2300E" w:rsidRDefault="00F2300E" w:rsidP="00F2300E">
    <w:pPr>
      <w:pStyle w:val="Footer"/>
      <w:tabs>
        <w:tab w:val="left" w:pos="1985"/>
        <w:tab w:val="left" w:pos="2835"/>
        <w:tab w:val="right" w:pos="4536"/>
        <w:tab w:val="right" w:pos="9027"/>
      </w:tabs>
      <w:rPr>
        <w:rFonts w:eastAsia="Calibri" w:cs="Arial"/>
        <w:sz w:val="16"/>
        <w:szCs w:val="16"/>
      </w:rPr>
    </w:pPr>
    <w:r>
      <w:rPr>
        <w:rFonts w:eastAsia="Calibri" w:cs="Arial"/>
        <w:sz w:val="16"/>
        <w:szCs w:val="16"/>
      </w:rPr>
      <w:t>DOCUMENT:</w:t>
    </w:r>
    <w:r>
      <w:rPr>
        <w:rFonts w:eastAsia="Calibri" w:cs="Arial"/>
        <w:sz w:val="16"/>
        <w:szCs w:val="16"/>
      </w:rPr>
      <w:tab/>
      <w:t>2211338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7E" w:rsidRDefault="00954B7E">
      <w:r>
        <w:separator/>
      </w:r>
    </w:p>
  </w:footnote>
  <w:footnote w:type="continuationSeparator" w:id="0">
    <w:p w:rsidR="00954B7E" w:rsidRDefault="00954B7E">
      <w:r>
        <w:continuationSeparator/>
      </w:r>
    </w:p>
  </w:footnote>
  <w:footnote w:id="1">
    <w:p w:rsidR="00F36289" w:rsidRDefault="00F36289" w:rsidP="00F36289">
      <w:pPr>
        <w:autoSpaceDE w:val="0"/>
        <w:autoSpaceDN w:val="0"/>
        <w:adjustRightInd w:val="0"/>
        <w:rPr>
          <w:rFonts w:ascii="Times New Roman" w:hAnsi="Times New Roman"/>
          <w:sz w:val="18"/>
          <w:lang w:val="en-US"/>
        </w:rPr>
      </w:pPr>
      <w:r>
        <w:rPr>
          <w:rStyle w:val="FootnoteReference"/>
          <w:rFonts w:ascii="Times New Roman" w:hAnsi="Times New Roman"/>
          <w:sz w:val="18"/>
        </w:rPr>
        <w:footnoteRef/>
      </w:r>
      <w:r>
        <w:rPr>
          <w:rFonts w:ascii="Times New Roman" w:hAnsi="Times New Roman"/>
          <w:sz w:val="18"/>
        </w:rPr>
        <w:t xml:space="preserve"> Dept Premier and Cabinet Circular PC027 “</w:t>
      </w:r>
      <w:hyperlink r:id="rId1" w:history="1">
        <w:r>
          <w:rPr>
            <w:rStyle w:val="Hyperlink"/>
            <w:rFonts w:ascii="Times New Roman" w:hAnsi="Times New Roman"/>
            <w:sz w:val="18"/>
          </w:rPr>
          <w:t>Disclosure of Government Contracts</w:t>
        </w:r>
      </w:hyperlink>
      <w:r>
        <w:rPr>
          <w:rFonts w:ascii="Times New Roman" w:hAnsi="Times New Roman"/>
          <w:sz w:val="18"/>
        </w:rPr>
        <w:t xml:space="preserve">” and </w:t>
      </w:r>
      <w:r>
        <w:rPr>
          <w:rFonts w:ascii="Times New Roman" w:hAnsi="Times New Roman"/>
          <w:sz w:val="18"/>
          <w:lang w:val="en-US"/>
        </w:rPr>
        <w:t>DTF Accounting Policy Frameworks II General Purpose Financial Reporting Framework</w:t>
      </w:r>
    </w:p>
    <w:p w:rsidR="00F36289" w:rsidRDefault="00F36289" w:rsidP="00F36289">
      <w:pPr>
        <w:pStyle w:val="FootnoteText"/>
      </w:pPr>
    </w:p>
  </w:footnote>
  <w:footnote w:id="2">
    <w:p w:rsidR="00F36289" w:rsidRDefault="00F36289" w:rsidP="00F36289">
      <w:pPr>
        <w:pStyle w:val="FootnoteText"/>
        <w:spacing w:after="120"/>
      </w:pPr>
      <w:r>
        <w:rPr>
          <w:rStyle w:val="FootnoteReference"/>
        </w:rPr>
        <w:footnoteRef/>
      </w:r>
      <w:r>
        <w:t xml:space="preserve"> In a legal context, these are referred to as a “Contract </w:t>
      </w:r>
      <w:r>
        <w:rPr>
          <w:i/>
        </w:rPr>
        <w:t>of Service</w:t>
      </w:r>
      <w:r>
        <w:t>”</w:t>
      </w:r>
    </w:p>
  </w:footnote>
  <w:footnote w:id="3">
    <w:p w:rsidR="00F36289" w:rsidRDefault="00F36289" w:rsidP="00F36289">
      <w:pPr>
        <w:pStyle w:val="FootnoteText"/>
      </w:pPr>
      <w:r>
        <w:rPr>
          <w:rStyle w:val="FootnoteReference"/>
        </w:rPr>
        <w:footnoteRef/>
      </w:r>
      <w:r>
        <w:t xml:space="preserve"> Further discussion on this issue can be found in </w:t>
      </w:r>
      <w:r>
        <w:rPr>
          <w:i/>
        </w:rPr>
        <w:t>Hollis v Vabu Pty Ltd [2001]</w:t>
      </w:r>
      <w:r>
        <w:t xml:space="preserve"> High Court of Australia</w:t>
      </w:r>
    </w:p>
  </w:footnote>
  <w:footnote w:id="4">
    <w:p w:rsidR="001E08E6" w:rsidRDefault="001E08E6" w:rsidP="001E08E6">
      <w:pPr>
        <w:pStyle w:val="FootnoteText"/>
      </w:pPr>
      <w:r>
        <w:rPr>
          <w:rStyle w:val="FootnoteReference"/>
        </w:rPr>
        <w:footnoteRef/>
      </w:r>
      <w:r>
        <w:t xml:space="preserve"> </w:t>
      </w:r>
      <w:r>
        <w:rPr>
          <w:iCs/>
          <w:color w:val="000000"/>
          <w:szCs w:val="24"/>
        </w:rPr>
        <w:t xml:space="preserve">Section 5 (2) of the </w:t>
      </w:r>
      <w:hyperlink r:id="rId2" w:tgtFrame="_new" w:history="1">
        <w:r w:rsidRPr="00C14D6D">
          <w:rPr>
            <w:rStyle w:val="Hyperlink"/>
            <w:rFonts w:cs="Arial"/>
            <w:i/>
            <w:szCs w:val="24"/>
          </w:rPr>
          <w:t>State Procurement Regulations 2005</w:t>
        </w:r>
      </w:hyperlink>
    </w:p>
  </w:footnote>
  <w:footnote w:id="5">
    <w:p w:rsidR="001E08E6" w:rsidRDefault="001E08E6" w:rsidP="001E08E6">
      <w:pPr>
        <w:pStyle w:val="FootnoteText"/>
      </w:pPr>
      <w:r>
        <w:rPr>
          <w:rStyle w:val="FootnoteReference"/>
        </w:rPr>
        <w:footnoteRef/>
      </w:r>
      <w:r>
        <w:t xml:space="preserve"> Section 3 (1) of the</w:t>
      </w:r>
      <w:r>
        <w:rPr>
          <w:rFonts w:cs="Arial"/>
          <w:iCs/>
          <w:szCs w:val="24"/>
        </w:rPr>
        <w:t xml:space="preserve"> </w:t>
      </w:r>
      <w:hyperlink r:id="rId3" w:history="1">
        <w:r w:rsidRPr="00C14D6D">
          <w:rPr>
            <w:rStyle w:val="Hyperlink"/>
            <w:i/>
            <w:iCs/>
            <w:szCs w:val="24"/>
          </w:rPr>
          <w:t>Building Work Contractors Act 1995</w:t>
        </w:r>
      </w:hyperlink>
    </w:p>
  </w:footnote>
  <w:footnote w:id="6">
    <w:p w:rsidR="001E08E6" w:rsidRDefault="001E08E6" w:rsidP="001E08E6">
      <w:pPr>
        <w:pStyle w:val="FootnoteText"/>
      </w:pPr>
      <w:r>
        <w:rPr>
          <w:rStyle w:val="FootnoteReference"/>
        </w:rPr>
        <w:footnoteRef/>
      </w:r>
      <w:r>
        <w:t xml:space="preserve"> Section 3 (1) of the</w:t>
      </w:r>
      <w:r>
        <w:rPr>
          <w:rFonts w:cs="Arial"/>
          <w:iCs/>
          <w:szCs w:val="24"/>
        </w:rPr>
        <w:t xml:space="preserve"> </w:t>
      </w:r>
      <w:hyperlink r:id="rId4" w:history="1">
        <w:r w:rsidRPr="00C14D6D">
          <w:rPr>
            <w:rStyle w:val="Hyperlink"/>
            <w:i/>
            <w:iCs/>
            <w:szCs w:val="24"/>
          </w:rPr>
          <w:t>Building Work Contractors Act 1995</w:t>
        </w:r>
      </w:hyperlink>
    </w:p>
  </w:footnote>
  <w:footnote w:id="7">
    <w:p w:rsidR="001E08E6" w:rsidRPr="00C14D6D" w:rsidRDefault="001E08E6" w:rsidP="001E08E6">
      <w:pPr>
        <w:pStyle w:val="Heading2"/>
        <w:rPr>
          <w:i/>
        </w:rPr>
      </w:pPr>
      <w:r>
        <w:rPr>
          <w:rStyle w:val="FootnoteReference"/>
        </w:rPr>
        <w:footnoteRef/>
      </w:r>
      <w:r>
        <w:t xml:space="preserve"> </w:t>
      </w:r>
      <w:r>
        <w:rPr>
          <w:b w:val="0"/>
          <w:sz w:val="20"/>
        </w:rPr>
        <w:t>Section 3</w:t>
      </w:r>
      <w:r w:rsidRPr="0082465D">
        <w:rPr>
          <w:b w:val="0"/>
          <w:sz w:val="20"/>
        </w:rPr>
        <w:t xml:space="preserve"> of the </w:t>
      </w:r>
      <w:hyperlink r:id="rId5" w:history="1">
        <w:r w:rsidRPr="00C14D6D">
          <w:rPr>
            <w:rStyle w:val="Hyperlink"/>
            <w:b w:val="0"/>
            <w:i/>
            <w:sz w:val="20"/>
          </w:rPr>
          <w:t>Parliamentary Committees Act 1991</w:t>
        </w:r>
      </w:hyperlink>
      <w:r w:rsidRPr="00C14D6D">
        <w:rPr>
          <w:i/>
        </w:rPr>
        <w:t xml:space="preserve"> </w:t>
      </w:r>
    </w:p>
    <w:p w:rsidR="001E08E6" w:rsidRDefault="001E08E6" w:rsidP="001E08E6">
      <w:pPr>
        <w:pStyle w:val="FootnoteText"/>
      </w:pPr>
    </w:p>
  </w:footnote>
  <w:footnote w:id="8">
    <w:p w:rsidR="001E08E6" w:rsidRDefault="001E08E6" w:rsidP="001E08E6">
      <w:pPr>
        <w:pStyle w:val="FootnoteText"/>
      </w:pPr>
      <w:r>
        <w:rPr>
          <w:rStyle w:val="FootnoteReference"/>
        </w:rPr>
        <w:footnoteRef/>
      </w:r>
      <w:r>
        <w:t xml:space="preserve"> ATO Taxation Ruling 97/23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0E" w:rsidRDefault="00F2300E" w:rsidP="00F2300E">
    <w:pPr>
      <w:pStyle w:val="Header"/>
    </w:pPr>
    <w:r w:rsidRPr="007F2EEC">
      <w:rPr>
        <w:noProof/>
        <w:lang w:eastAsia="en-AU"/>
      </w:rPr>
      <w:drawing>
        <wp:anchor distT="0" distB="0" distL="114300" distR="114300" simplePos="0" relativeHeight="251659264" behindDoc="1" locked="0" layoutInCell="1" allowOverlap="1">
          <wp:simplePos x="0" y="0"/>
          <wp:positionH relativeFrom="column">
            <wp:posOffset>-379095</wp:posOffset>
          </wp:positionH>
          <wp:positionV relativeFrom="paragraph">
            <wp:posOffset>-100330</wp:posOffset>
          </wp:positionV>
          <wp:extent cx="6681470" cy="1884680"/>
          <wp:effectExtent l="0" t="0" r="5080" b="1270"/>
          <wp:wrapNone/>
          <wp:docPr id="3" name="Picture 3" descr="Dpti_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i_templat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2300E" w:rsidRDefault="00F2300E" w:rsidP="00F2300E">
    <w:pPr>
      <w:pStyle w:val="Header"/>
    </w:pPr>
    <w:r>
      <w:t>PR105</w:t>
    </w:r>
    <w:r w:rsidRPr="00F2300E">
      <w:t xml:space="preserve"> – </w:t>
    </w:r>
    <w:r>
      <w:t>Procurement Classification</w:t>
    </w:r>
  </w:p>
  <w:p w:rsidR="00F2300E" w:rsidRPr="00F2300E" w:rsidRDefault="00F2300E" w:rsidP="00F2300E">
    <w:pPr>
      <w:pStyle w:val="Header"/>
    </w:pPr>
    <w:r>
      <w:t>&amp; Definitions</w:t>
    </w:r>
  </w:p>
  <w:p w:rsidR="00F2300E" w:rsidRDefault="00F2300E" w:rsidP="00F2300E">
    <w:pPr>
      <w:pStyle w:val="Header"/>
    </w:pPr>
  </w:p>
  <w:p w:rsidR="006824C4" w:rsidRPr="00F2300E" w:rsidRDefault="006824C4" w:rsidP="00F23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0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976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20708"/>
    <w:multiLevelType w:val="hybridMultilevel"/>
    <w:tmpl w:val="F3746D26"/>
    <w:lvl w:ilvl="0" w:tplc="59521DCE">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523F1F"/>
    <w:multiLevelType w:val="hybridMultilevel"/>
    <w:tmpl w:val="64BC0F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6B672B"/>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178504BF"/>
    <w:multiLevelType w:val="hybridMultilevel"/>
    <w:tmpl w:val="64BC0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03B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55D80"/>
    <w:multiLevelType w:val="multilevel"/>
    <w:tmpl w:val="F71CAC0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9" w15:restartNumberingAfterBreak="0">
    <w:nsid w:val="3B03168A"/>
    <w:multiLevelType w:val="hybridMultilevel"/>
    <w:tmpl w:val="B4E6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A21769"/>
    <w:multiLevelType w:val="singleLevel"/>
    <w:tmpl w:val="A0C4F8BE"/>
    <w:lvl w:ilvl="0">
      <w:start w:val="1"/>
      <w:numFmt w:val="lowerRoman"/>
      <w:lvlText w:val="%1."/>
      <w:lvlJc w:val="right"/>
      <w:pPr>
        <w:tabs>
          <w:tab w:val="num" w:pos="504"/>
        </w:tabs>
        <w:ind w:left="504" w:hanging="216"/>
      </w:pPr>
    </w:lvl>
  </w:abstractNum>
  <w:abstractNum w:abstractNumId="11" w15:restartNumberingAfterBreak="0">
    <w:nsid w:val="4AB26164"/>
    <w:multiLevelType w:val="hybridMultilevel"/>
    <w:tmpl w:val="030E6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37971"/>
    <w:multiLevelType w:val="hybridMultilevel"/>
    <w:tmpl w:val="5A4ECF7C"/>
    <w:lvl w:ilvl="0" w:tplc="C5A24B34">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A64278"/>
    <w:multiLevelType w:val="hybridMultilevel"/>
    <w:tmpl w:val="A4BE7A30"/>
    <w:lvl w:ilvl="0" w:tplc="DD2C5E2E">
      <w:start w:val="1"/>
      <w:numFmt w:val="lowerLetter"/>
      <w:lvlText w:val="(%1)"/>
      <w:lvlJc w:val="left"/>
      <w:pPr>
        <w:tabs>
          <w:tab w:val="num" w:pos="1155"/>
        </w:tabs>
        <w:ind w:left="1155" w:hanging="435"/>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51F91658"/>
    <w:multiLevelType w:val="singleLevel"/>
    <w:tmpl w:val="76C62030"/>
    <w:lvl w:ilvl="0">
      <w:start w:val="1"/>
      <w:numFmt w:val="lowerLetter"/>
      <w:lvlText w:val="%1)"/>
      <w:lvlJc w:val="left"/>
      <w:pPr>
        <w:tabs>
          <w:tab w:val="num" w:pos="720"/>
        </w:tabs>
        <w:ind w:left="720" w:hanging="720"/>
      </w:pPr>
      <w:rPr>
        <w:rFonts w:hint="default"/>
      </w:rPr>
    </w:lvl>
  </w:abstractNum>
  <w:abstractNum w:abstractNumId="15" w15:restartNumberingAfterBreak="0">
    <w:nsid w:val="537A28C3"/>
    <w:multiLevelType w:val="hybridMultilevel"/>
    <w:tmpl w:val="D952BD96"/>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6" w15:restartNumberingAfterBreak="0">
    <w:nsid w:val="56C16A1B"/>
    <w:multiLevelType w:val="singleLevel"/>
    <w:tmpl w:val="0C090019"/>
    <w:lvl w:ilvl="0">
      <w:start w:val="1"/>
      <w:numFmt w:val="lowerLetter"/>
      <w:lvlText w:val="(%1)"/>
      <w:lvlJc w:val="left"/>
      <w:pPr>
        <w:tabs>
          <w:tab w:val="num" w:pos="360"/>
        </w:tabs>
        <w:ind w:left="360" w:hanging="360"/>
      </w:pPr>
    </w:lvl>
  </w:abstractNum>
  <w:abstractNum w:abstractNumId="17" w15:restartNumberingAfterBreak="0">
    <w:nsid w:val="5BE226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E810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58247C"/>
    <w:multiLevelType w:val="hybridMultilevel"/>
    <w:tmpl w:val="DAB853A0"/>
    <w:lvl w:ilvl="0" w:tplc="0C090001">
      <w:start w:val="1"/>
      <w:numFmt w:val="bullet"/>
      <w:lvlText w:val=""/>
      <w:lvlJc w:val="left"/>
      <w:pPr>
        <w:tabs>
          <w:tab w:val="num" w:pos="2424"/>
        </w:tabs>
        <w:ind w:left="2424" w:hanging="360"/>
      </w:pPr>
      <w:rPr>
        <w:rFonts w:ascii="Symbol" w:hAnsi="Symbol" w:hint="default"/>
      </w:rPr>
    </w:lvl>
    <w:lvl w:ilvl="1" w:tplc="0C090003">
      <w:start w:val="1"/>
      <w:numFmt w:val="bullet"/>
      <w:lvlText w:val="o"/>
      <w:lvlJc w:val="left"/>
      <w:pPr>
        <w:tabs>
          <w:tab w:val="num" w:pos="3144"/>
        </w:tabs>
        <w:ind w:left="3144" w:hanging="360"/>
      </w:pPr>
      <w:rPr>
        <w:rFonts w:ascii="Courier New" w:hAnsi="Courier New" w:cs="Courier New" w:hint="default"/>
      </w:rPr>
    </w:lvl>
    <w:lvl w:ilvl="2" w:tplc="0C090005" w:tentative="1">
      <w:start w:val="1"/>
      <w:numFmt w:val="bullet"/>
      <w:lvlText w:val=""/>
      <w:lvlJc w:val="left"/>
      <w:pPr>
        <w:tabs>
          <w:tab w:val="num" w:pos="3864"/>
        </w:tabs>
        <w:ind w:left="3864" w:hanging="360"/>
      </w:pPr>
      <w:rPr>
        <w:rFonts w:ascii="Wingdings" w:hAnsi="Wingdings" w:hint="default"/>
      </w:rPr>
    </w:lvl>
    <w:lvl w:ilvl="3" w:tplc="0C090001" w:tentative="1">
      <w:start w:val="1"/>
      <w:numFmt w:val="bullet"/>
      <w:lvlText w:val=""/>
      <w:lvlJc w:val="left"/>
      <w:pPr>
        <w:tabs>
          <w:tab w:val="num" w:pos="4584"/>
        </w:tabs>
        <w:ind w:left="4584" w:hanging="360"/>
      </w:pPr>
      <w:rPr>
        <w:rFonts w:ascii="Symbol" w:hAnsi="Symbol" w:hint="default"/>
      </w:rPr>
    </w:lvl>
    <w:lvl w:ilvl="4" w:tplc="0C090003" w:tentative="1">
      <w:start w:val="1"/>
      <w:numFmt w:val="bullet"/>
      <w:lvlText w:val="o"/>
      <w:lvlJc w:val="left"/>
      <w:pPr>
        <w:tabs>
          <w:tab w:val="num" w:pos="5304"/>
        </w:tabs>
        <w:ind w:left="5304" w:hanging="360"/>
      </w:pPr>
      <w:rPr>
        <w:rFonts w:ascii="Courier New" w:hAnsi="Courier New" w:cs="Courier New" w:hint="default"/>
      </w:rPr>
    </w:lvl>
    <w:lvl w:ilvl="5" w:tplc="0C090005" w:tentative="1">
      <w:start w:val="1"/>
      <w:numFmt w:val="bullet"/>
      <w:lvlText w:val=""/>
      <w:lvlJc w:val="left"/>
      <w:pPr>
        <w:tabs>
          <w:tab w:val="num" w:pos="6024"/>
        </w:tabs>
        <w:ind w:left="6024" w:hanging="360"/>
      </w:pPr>
      <w:rPr>
        <w:rFonts w:ascii="Wingdings" w:hAnsi="Wingdings" w:hint="default"/>
      </w:rPr>
    </w:lvl>
    <w:lvl w:ilvl="6" w:tplc="0C090001" w:tentative="1">
      <w:start w:val="1"/>
      <w:numFmt w:val="bullet"/>
      <w:lvlText w:val=""/>
      <w:lvlJc w:val="left"/>
      <w:pPr>
        <w:tabs>
          <w:tab w:val="num" w:pos="6744"/>
        </w:tabs>
        <w:ind w:left="6744" w:hanging="360"/>
      </w:pPr>
      <w:rPr>
        <w:rFonts w:ascii="Symbol" w:hAnsi="Symbol" w:hint="default"/>
      </w:rPr>
    </w:lvl>
    <w:lvl w:ilvl="7" w:tplc="0C090003" w:tentative="1">
      <w:start w:val="1"/>
      <w:numFmt w:val="bullet"/>
      <w:lvlText w:val="o"/>
      <w:lvlJc w:val="left"/>
      <w:pPr>
        <w:tabs>
          <w:tab w:val="num" w:pos="7464"/>
        </w:tabs>
        <w:ind w:left="7464" w:hanging="360"/>
      </w:pPr>
      <w:rPr>
        <w:rFonts w:ascii="Courier New" w:hAnsi="Courier New" w:cs="Courier New" w:hint="default"/>
      </w:rPr>
    </w:lvl>
    <w:lvl w:ilvl="8" w:tplc="0C090005" w:tentative="1">
      <w:start w:val="1"/>
      <w:numFmt w:val="bullet"/>
      <w:lvlText w:val=""/>
      <w:lvlJc w:val="left"/>
      <w:pPr>
        <w:tabs>
          <w:tab w:val="num" w:pos="8184"/>
        </w:tabs>
        <w:ind w:left="8184" w:hanging="360"/>
      </w:pPr>
      <w:rPr>
        <w:rFonts w:ascii="Wingdings" w:hAnsi="Wingdings" w:hint="default"/>
      </w:rPr>
    </w:lvl>
  </w:abstractNum>
  <w:abstractNum w:abstractNumId="20" w15:restartNumberingAfterBreak="0">
    <w:nsid w:val="6DF64C07"/>
    <w:multiLevelType w:val="singleLevel"/>
    <w:tmpl w:val="E762430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FA5DD0"/>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7CAE5FDF"/>
    <w:multiLevelType w:val="hybridMultilevel"/>
    <w:tmpl w:val="4BF08D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8"/>
  </w:num>
  <w:num w:numId="4">
    <w:abstractNumId w:val="0"/>
  </w:num>
  <w:num w:numId="5">
    <w:abstractNumId w:val="21"/>
  </w:num>
  <w:num w:numId="6">
    <w:abstractNumId w:val="16"/>
  </w:num>
  <w:num w:numId="7">
    <w:abstractNumId w:val="14"/>
  </w:num>
  <w:num w:numId="8">
    <w:abstractNumId w:val="4"/>
  </w:num>
  <w:num w:numId="9">
    <w:abstractNumId w:val="6"/>
  </w:num>
  <w:num w:numId="10">
    <w:abstractNumId w:val="10"/>
  </w:num>
  <w:num w:numId="11">
    <w:abstractNumId w:val="17"/>
  </w:num>
  <w:num w:numId="12">
    <w:abstractNumId w:val="18"/>
  </w:num>
  <w:num w:numId="13">
    <w:abstractNumId w:val="1"/>
  </w:num>
  <w:num w:numId="14">
    <w:abstractNumId w:val="11"/>
  </w:num>
  <w:num w:numId="15">
    <w:abstractNumId w:val="5"/>
  </w:num>
  <w:num w:numId="16">
    <w:abstractNumId w:val="3"/>
  </w:num>
  <w:num w:numId="17">
    <w:abstractNumId w:val="19"/>
  </w:num>
  <w:num w:numId="18">
    <w:abstractNumId w:val="12"/>
  </w:num>
  <w:num w:numId="19">
    <w:abstractNumId w:val="22"/>
  </w:num>
  <w:num w:numId="20">
    <w:abstractNumId w:val="15"/>
  </w:num>
  <w:num w:numId="21">
    <w:abstractNumId w:val="13"/>
  </w:num>
  <w:num w:numId="22">
    <w:abstractNumId w:val="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75"/>
    <w:rsid w:val="00004A64"/>
    <w:rsid w:val="00006AB8"/>
    <w:rsid w:val="00006DD1"/>
    <w:rsid w:val="00007CF7"/>
    <w:rsid w:val="0001677F"/>
    <w:rsid w:val="000D2F48"/>
    <w:rsid w:val="000F6127"/>
    <w:rsid w:val="00100C61"/>
    <w:rsid w:val="00101974"/>
    <w:rsid w:val="00103664"/>
    <w:rsid w:val="00136A70"/>
    <w:rsid w:val="00153E73"/>
    <w:rsid w:val="00182124"/>
    <w:rsid w:val="001836F1"/>
    <w:rsid w:val="00184AFB"/>
    <w:rsid w:val="00195014"/>
    <w:rsid w:val="001A0823"/>
    <w:rsid w:val="001D52C9"/>
    <w:rsid w:val="001D69AB"/>
    <w:rsid w:val="001E08E6"/>
    <w:rsid w:val="001E0EC0"/>
    <w:rsid w:val="001F505C"/>
    <w:rsid w:val="00206F5D"/>
    <w:rsid w:val="002347BF"/>
    <w:rsid w:val="00241D67"/>
    <w:rsid w:val="0024466F"/>
    <w:rsid w:val="002A2F75"/>
    <w:rsid w:val="002D4795"/>
    <w:rsid w:val="00352D43"/>
    <w:rsid w:val="003B3D75"/>
    <w:rsid w:val="004079BE"/>
    <w:rsid w:val="00426ACA"/>
    <w:rsid w:val="00436C3F"/>
    <w:rsid w:val="00444D01"/>
    <w:rsid w:val="004664D7"/>
    <w:rsid w:val="00482976"/>
    <w:rsid w:val="004970BC"/>
    <w:rsid w:val="004A0C16"/>
    <w:rsid w:val="004A159F"/>
    <w:rsid w:val="004D5282"/>
    <w:rsid w:val="005266D5"/>
    <w:rsid w:val="0053017B"/>
    <w:rsid w:val="0053367C"/>
    <w:rsid w:val="005456B0"/>
    <w:rsid w:val="00555F3A"/>
    <w:rsid w:val="00562427"/>
    <w:rsid w:val="00583612"/>
    <w:rsid w:val="005A051F"/>
    <w:rsid w:val="005A2DBD"/>
    <w:rsid w:val="005B45AF"/>
    <w:rsid w:val="005D6BE0"/>
    <w:rsid w:val="005E0A5C"/>
    <w:rsid w:val="00605962"/>
    <w:rsid w:val="006063C6"/>
    <w:rsid w:val="00613E7A"/>
    <w:rsid w:val="00630A5D"/>
    <w:rsid w:val="00654835"/>
    <w:rsid w:val="006824C4"/>
    <w:rsid w:val="00694514"/>
    <w:rsid w:val="00696DEA"/>
    <w:rsid w:val="006C0A49"/>
    <w:rsid w:val="006F607E"/>
    <w:rsid w:val="00740504"/>
    <w:rsid w:val="007613F5"/>
    <w:rsid w:val="00766BC9"/>
    <w:rsid w:val="007B5EF7"/>
    <w:rsid w:val="007F2146"/>
    <w:rsid w:val="007F5D67"/>
    <w:rsid w:val="0082465D"/>
    <w:rsid w:val="00831128"/>
    <w:rsid w:val="00887034"/>
    <w:rsid w:val="008B47B1"/>
    <w:rsid w:val="008D6C8A"/>
    <w:rsid w:val="008E2A1F"/>
    <w:rsid w:val="00910904"/>
    <w:rsid w:val="009403FB"/>
    <w:rsid w:val="00954B7E"/>
    <w:rsid w:val="009560C4"/>
    <w:rsid w:val="00997E42"/>
    <w:rsid w:val="009A7598"/>
    <w:rsid w:val="009B7501"/>
    <w:rsid w:val="009C0D16"/>
    <w:rsid w:val="009E05ED"/>
    <w:rsid w:val="009F3CCC"/>
    <w:rsid w:val="00A321DB"/>
    <w:rsid w:val="00A46000"/>
    <w:rsid w:val="00A85066"/>
    <w:rsid w:val="00A94EB3"/>
    <w:rsid w:val="00AB047D"/>
    <w:rsid w:val="00AC782D"/>
    <w:rsid w:val="00AF24A3"/>
    <w:rsid w:val="00B03AE3"/>
    <w:rsid w:val="00B03BDA"/>
    <w:rsid w:val="00B04754"/>
    <w:rsid w:val="00B14216"/>
    <w:rsid w:val="00B3376D"/>
    <w:rsid w:val="00B425E6"/>
    <w:rsid w:val="00BA767E"/>
    <w:rsid w:val="00BB19AC"/>
    <w:rsid w:val="00BC150C"/>
    <w:rsid w:val="00BD07B0"/>
    <w:rsid w:val="00BE15BD"/>
    <w:rsid w:val="00BE5E08"/>
    <w:rsid w:val="00BF3B60"/>
    <w:rsid w:val="00C14D6D"/>
    <w:rsid w:val="00C166E0"/>
    <w:rsid w:val="00C36B24"/>
    <w:rsid w:val="00C42567"/>
    <w:rsid w:val="00C4721B"/>
    <w:rsid w:val="00C9329F"/>
    <w:rsid w:val="00CA7A23"/>
    <w:rsid w:val="00D03D57"/>
    <w:rsid w:val="00D46E6C"/>
    <w:rsid w:val="00D652EF"/>
    <w:rsid w:val="00D66CB9"/>
    <w:rsid w:val="00D779F8"/>
    <w:rsid w:val="00D853D6"/>
    <w:rsid w:val="00D90725"/>
    <w:rsid w:val="00DE4978"/>
    <w:rsid w:val="00DF45DF"/>
    <w:rsid w:val="00E54B12"/>
    <w:rsid w:val="00E75B94"/>
    <w:rsid w:val="00E903D5"/>
    <w:rsid w:val="00E91822"/>
    <w:rsid w:val="00EA2AA4"/>
    <w:rsid w:val="00EA6436"/>
    <w:rsid w:val="00EA71A2"/>
    <w:rsid w:val="00EC3B23"/>
    <w:rsid w:val="00ED7C9F"/>
    <w:rsid w:val="00EF259B"/>
    <w:rsid w:val="00EF3722"/>
    <w:rsid w:val="00EF6038"/>
    <w:rsid w:val="00F2300E"/>
    <w:rsid w:val="00F36289"/>
    <w:rsid w:val="00F4467A"/>
    <w:rsid w:val="00F54965"/>
    <w:rsid w:val="00F744A4"/>
    <w:rsid w:val="00F75BE0"/>
    <w:rsid w:val="00F82B7A"/>
    <w:rsid w:val="00FB660E"/>
    <w:rsid w:val="00FC70FA"/>
    <w:rsid w:val="00FE4BB9"/>
    <w:rsid w:val="00FF1366"/>
    <w:rsid w:val="00FF2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DB8289E-1719-48A2-A602-43FBEDBF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12"/>
    <w:rPr>
      <w:rFonts w:ascii="Arial" w:hAnsi="Arial"/>
      <w:sz w:val="22"/>
      <w:szCs w:val="22"/>
      <w:lang w:eastAsia="en-US"/>
    </w:rPr>
  </w:style>
  <w:style w:type="paragraph" w:styleId="Heading1">
    <w:name w:val="heading 1"/>
    <w:basedOn w:val="Normal"/>
    <w:next w:val="Normal"/>
    <w:qFormat/>
    <w:rsid w:val="00E54B12"/>
    <w:pPr>
      <w:keepNext/>
      <w:outlineLvl w:val="0"/>
    </w:pPr>
    <w:rPr>
      <w:b/>
    </w:rPr>
  </w:style>
  <w:style w:type="paragraph" w:styleId="Heading2">
    <w:name w:val="heading 2"/>
    <w:basedOn w:val="Normal"/>
    <w:next w:val="Normal"/>
    <w:link w:val="Heading2Char"/>
    <w:qFormat/>
    <w:rsid w:val="00E54B12"/>
    <w:pPr>
      <w:keepNext/>
      <w:outlineLvl w:val="1"/>
    </w:pPr>
    <w:rPr>
      <w:b/>
      <w:sz w:val="16"/>
    </w:rPr>
  </w:style>
  <w:style w:type="paragraph" w:styleId="Heading3">
    <w:name w:val="heading 3"/>
    <w:basedOn w:val="Normal"/>
    <w:next w:val="Normal"/>
    <w:qFormat/>
    <w:rsid w:val="00E54B12"/>
    <w:pPr>
      <w:keepNext/>
      <w:spacing w:after="120"/>
      <w:jc w:val="center"/>
      <w:outlineLvl w:val="2"/>
    </w:pPr>
    <w:rPr>
      <w:b/>
    </w:rPr>
  </w:style>
  <w:style w:type="paragraph" w:styleId="Heading4">
    <w:name w:val="heading 4"/>
    <w:basedOn w:val="Normal"/>
    <w:next w:val="Normal"/>
    <w:qFormat/>
    <w:rsid w:val="00E54B12"/>
    <w:pPr>
      <w:keepNext/>
      <w:jc w:val="center"/>
      <w:outlineLvl w:val="3"/>
    </w:pPr>
    <w:rPr>
      <w:b/>
    </w:rPr>
  </w:style>
  <w:style w:type="paragraph" w:styleId="Heading5">
    <w:name w:val="heading 5"/>
    <w:basedOn w:val="Normal"/>
    <w:next w:val="Normal"/>
    <w:qFormat/>
    <w:rsid w:val="00E54B12"/>
    <w:pPr>
      <w:keepNext/>
      <w:jc w:val="center"/>
      <w:outlineLvl w:val="4"/>
    </w:pPr>
    <w:rPr>
      <w:b/>
      <w:sz w:val="28"/>
    </w:rPr>
  </w:style>
  <w:style w:type="paragraph" w:styleId="Heading6">
    <w:name w:val="heading 6"/>
    <w:basedOn w:val="Normal"/>
    <w:next w:val="Normal"/>
    <w:qFormat/>
    <w:rsid w:val="00E54B12"/>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E54B12"/>
    <w:pPr>
      <w:numPr>
        <w:numId w:val="3"/>
      </w:numPr>
      <w:spacing w:before="120"/>
    </w:pPr>
  </w:style>
  <w:style w:type="paragraph" w:styleId="Header">
    <w:name w:val="header"/>
    <w:basedOn w:val="Normal"/>
    <w:link w:val="HeaderChar"/>
    <w:autoRedefine/>
    <w:uiPriority w:val="99"/>
    <w:rsid w:val="00F2300E"/>
    <w:pPr>
      <w:tabs>
        <w:tab w:val="left" w:pos="5670"/>
      </w:tabs>
      <w:spacing w:after="120"/>
    </w:pPr>
    <w:rPr>
      <w:rFonts w:cs="Arial"/>
      <w:b/>
      <w:color w:val="1F497D"/>
      <w:sz w:val="36"/>
      <w:szCs w:val="36"/>
    </w:rPr>
  </w:style>
  <w:style w:type="paragraph" w:styleId="Footer">
    <w:name w:val="footer"/>
    <w:basedOn w:val="Normal"/>
    <w:link w:val="FooterChar"/>
    <w:rsid w:val="00E54B12"/>
    <w:pPr>
      <w:tabs>
        <w:tab w:val="center" w:pos="4153"/>
        <w:tab w:val="right" w:pos="8306"/>
      </w:tabs>
    </w:pPr>
  </w:style>
  <w:style w:type="character" w:styleId="Hyperlink">
    <w:name w:val="Hyperlink"/>
    <w:rsid w:val="00E54B12"/>
    <w:rPr>
      <w:color w:val="0000FF"/>
      <w:u w:val="single"/>
    </w:rPr>
  </w:style>
  <w:style w:type="paragraph" w:styleId="FootnoteText">
    <w:name w:val="footnote text"/>
    <w:basedOn w:val="Normal"/>
    <w:link w:val="FootnoteTextChar"/>
    <w:semiHidden/>
    <w:rsid w:val="00E54B12"/>
    <w:rPr>
      <w:sz w:val="20"/>
    </w:rPr>
  </w:style>
  <w:style w:type="character" w:styleId="FootnoteReference">
    <w:name w:val="footnote reference"/>
    <w:semiHidden/>
    <w:rsid w:val="00E54B12"/>
    <w:rPr>
      <w:vertAlign w:val="superscript"/>
    </w:rPr>
  </w:style>
  <w:style w:type="character" w:styleId="FollowedHyperlink">
    <w:name w:val="FollowedHyperlink"/>
    <w:rsid w:val="00E54B12"/>
    <w:rPr>
      <w:color w:val="800080"/>
      <w:u w:val="single"/>
    </w:rPr>
  </w:style>
  <w:style w:type="character" w:styleId="PageNumber">
    <w:name w:val="page number"/>
    <w:basedOn w:val="DefaultParagraphFont"/>
    <w:rsid w:val="00E54B12"/>
  </w:style>
  <w:style w:type="paragraph" w:customStyle="1" w:styleId="Body">
    <w:name w:val="Body"/>
    <w:basedOn w:val="Normal"/>
    <w:rsid w:val="00E54B12"/>
    <w:pPr>
      <w:spacing w:after="240"/>
      <w:ind w:left="567"/>
    </w:pPr>
  </w:style>
  <w:style w:type="paragraph" w:styleId="BodyText">
    <w:name w:val="Body Text"/>
    <w:basedOn w:val="Normal"/>
    <w:rsid w:val="00E54B12"/>
    <w:rPr>
      <w:b/>
    </w:rPr>
  </w:style>
  <w:style w:type="paragraph" w:styleId="BodyText2">
    <w:name w:val="Body Text 2"/>
    <w:basedOn w:val="Normal"/>
    <w:rsid w:val="00E54B12"/>
    <w:pPr>
      <w:jc w:val="center"/>
    </w:pPr>
    <w:rPr>
      <w:b/>
      <w:color w:val="0000FF"/>
    </w:rPr>
  </w:style>
  <w:style w:type="paragraph" w:styleId="BodyText3">
    <w:name w:val="Body Text 3"/>
    <w:basedOn w:val="Normal"/>
    <w:rsid w:val="00E54B12"/>
    <w:rPr>
      <w:snapToGrid w:val="0"/>
      <w:sz w:val="20"/>
    </w:rPr>
  </w:style>
  <w:style w:type="paragraph" w:styleId="BalloonText">
    <w:name w:val="Balloon Text"/>
    <w:basedOn w:val="Normal"/>
    <w:link w:val="BalloonTextChar"/>
    <w:rsid w:val="002A2F75"/>
    <w:rPr>
      <w:rFonts w:ascii="Tahoma" w:hAnsi="Tahoma" w:cs="Tahoma"/>
      <w:sz w:val="16"/>
      <w:szCs w:val="16"/>
    </w:rPr>
  </w:style>
  <w:style w:type="character" w:customStyle="1" w:styleId="BalloonTextChar">
    <w:name w:val="Balloon Text Char"/>
    <w:basedOn w:val="DefaultParagraphFont"/>
    <w:link w:val="BalloonText"/>
    <w:rsid w:val="002A2F75"/>
    <w:rPr>
      <w:rFonts w:ascii="Tahoma" w:hAnsi="Tahoma" w:cs="Tahoma"/>
      <w:sz w:val="16"/>
      <w:szCs w:val="16"/>
      <w:lang w:eastAsia="en-US"/>
    </w:rPr>
  </w:style>
  <w:style w:type="character" w:customStyle="1" w:styleId="Heading2Char">
    <w:name w:val="Heading 2 Char"/>
    <w:basedOn w:val="DefaultParagraphFont"/>
    <w:link w:val="Heading2"/>
    <w:rsid w:val="001E08E6"/>
    <w:rPr>
      <w:rFonts w:ascii="Arial" w:hAnsi="Arial"/>
      <w:b/>
      <w:sz w:val="16"/>
      <w:szCs w:val="22"/>
      <w:lang w:eastAsia="en-US"/>
    </w:rPr>
  </w:style>
  <w:style w:type="character" w:customStyle="1" w:styleId="FootnoteTextChar">
    <w:name w:val="Footnote Text Char"/>
    <w:basedOn w:val="DefaultParagraphFont"/>
    <w:link w:val="FootnoteText"/>
    <w:semiHidden/>
    <w:rsid w:val="001E08E6"/>
    <w:rPr>
      <w:rFonts w:ascii="Arial" w:hAnsi="Arial"/>
      <w:szCs w:val="22"/>
      <w:lang w:eastAsia="en-US"/>
    </w:rPr>
  </w:style>
  <w:style w:type="character" w:customStyle="1" w:styleId="FooterChar">
    <w:name w:val="Footer Char"/>
    <w:basedOn w:val="DefaultParagraphFont"/>
    <w:link w:val="Footer"/>
    <w:rsid w:val="001E08E6"/>
    <w:rPr>
      <w:rFonts w:ascii="Arial" w:hAnsi="Arial"/>
      <w:sz w:val="22"/>
      <w:szCs w:val="22"/>
      <w:lang w:eastAsia="en-US"/>
    </w:rPr>
  </w:style>
  <w:style w:type="table" w:styleId="TableGrid">
    <w:name w:val="Table Grid"/>
    <w:basedOn w:val="TableNormal"/>
    <w:rsid w:val="00997E42"/>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2300E"/>
    <w:rPr>
      <w:rFonts w:ascii="Arial" w:hAnsi="Arial" w:cs="Arial"/>
      <w:b/>
      <w:color w:val="1F497D"/>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7506">
      <w:bodyDiv w:val="1"/>
      <w:marLeft w:val="0"/>
      <w:marRight w:val="0"/>
      <w:marTop w:val="0"/>
      <w:marBottom w:val="0"/>
      <w:divBdr>
        <w:top w:val="none" w:sz="0" w:space="0" w:color="auto"/>
        <w:left w:val="none" w:sz="0" w:space="0" w:color="auto"/>
        <w:bottom w:val="none" w:sz="0" w:space="0" w:color="auto"/>
        <w:right w:val="none" w:sz="0" w:space="0" w:color="auto"/>
      </w:divBdr>
      <w:divsChild>
        <w:div w:id="1047412485">
          <w:marLeft w:val="0"/>
          <w:marRight w:val="0"/>
          <w:marTop w:val="0"/>
          <w:marBottom w:val="0"/>
          <w:divBdr>
            <w:top w:val="none" w:sz="0" w:space="0" w:color="auto"/>
            <w:left w:val="none" w:sz="0" w:space="0" w:color="auto"/>
            <w:bottom w:val="none" w:sz="0" w:space="0" w:color="auto"/>
            <w:right w:val="none" w:sz="0" w:space="0" w:color="auto"/>
          </w:divBdr>
          <w:divsChild>
            <w:div w:id="2105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cdocs://DOCS_AND_FILES/9540742/3" TargetMode="External"/><Relationship Id="rId13" Type="http://schemas.openxmlformats.org/officeDocument/2006/relationships/hyperlink" Target="http://www.legislation.sa.gov.au/LZ/C/A/WORK%20HEALTH%20AND%20SAFETY%20ACT%202012.aspx" TargetMode="External"/><Relationship Id="rId18" Type="http://schemas.openxmlformats.org/officeDocument/2006/relationships/hyperlink" Target="http://www.spb.sa.gov.au/sites/default/files/Procurement%20Glossary%20v3.0%20September%202016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pcdocs://DOCS_AND_FILES/9481555/R" TargetMode="External"/><Relationship Id="rId17" Type="http://schemas.openxmlformats.org/officeDocument/2006/relationships/hyperlink" Target="https://www.legislation.sa.gov.au/LZ/C/A/STATE%20PROCUREMENT%20ACT%202004.aspx" TargetMode="External"/><Relationship Id="rId2" Type="http://schemas.openxmlformats.org/officeDocument/2006/relationships/numbering" Target="numbering.xml"/><Relationship Id="rId16" Type="http://schemas.openxmlformats.org/officeDocument/2006/relationships/hyperlink" Target="http://www.legislation.sa.gov.au/LZ/C/A/CONSTRUCTION%20INDUSTRY%20TRAINING%20FUND%20ACT%201993.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sa.gov.au/LZ/C/A/State%20Procurement%20Act%202004.aspx" TargetMode="External"/><Relationship Id="rId5" Type="http://schemas.openxmlformats.org/officeDocument/2006/relationships/webSettings" Target="webSettings.xml"/><Relationship Id="rId15" Type="http://schemas.openxmlformats.org/officeDocument/2006/relationships/hyperlink" Target="http://www.legislation.sa.gov.au/LZ/C/A/BUILDING%20WORK%20CONTRACTORS%20ACT%201995.aspx" TargetMode="External"/><Relationship Id="rId10" Type="http://schemas.openxmlformats.org/officeDocument/2006/relationships/hyperlink" Target="https://www.legislation.sa.gov.au/LZ/C/A/PARLIAMENTARY%20COMMITTEES%20ACT%201991.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ptibusobjvp01/egads/" TargetMode="External"/><Relationship Id="rId14" Type="http://schemas.openxmlformats.org/officeDocument/2006/relationships/hyperlink" Target="http://www.legislation.sa.gov.au/LZ/C/R/STATE%20PROCUREMENT%20REGULATIONS%202005.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sa.gov.au/LZ/C/A/BUILDING%20WORK%20CONTRACTORS%20ACT%201995.aspx" TargetMode="External"/><Relationship Id="rId2" Type="http://schemas.openxmlformats.org/officeDocument/2006/relationships/hyperlink" Target="http://www.legislation.sa.gov.au/LZ/C/R/STATE%20PROCUREMENT%20REGULATIONS%202005.aspx" TargetMode="External"/><Relationship Id="rId1" Type="http://schemas.openxmlformats.org/officeDocument/2006/relationships/hyperlink" Target="http://dpc.sa.gov.au/premier-and-cabinet-circulars" TargetMode="External"/><Relationship Id="rId5" Type="http://schemas.openxmlformats.org/officeDocument/2006/relationships/hyperlink" Target="http://www.legislation.sa.gov.au/LZ/C/A/PARLIAMENTARY%20COMMITTEES%20ACT%201991.aspx" TargetMode="External"/><Relationship Id="rId4" Type="http://schemas.openxmlformats.org/officeDocument/2006/relationships/hyperlink" Target="http://www.legislation.sa.gov.au/LZ/C/A/BUILDING%20WORK%20CONTRACTORS%20ACT%201995.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BE9B-6C93-4497-B8E0-F0EDB854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12577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PROCUREMENT PROCEDURE</vt:lpstr>
    </vt:vector>
  </TitlesOfParts>
  <Company>South Australia</Company>
  <LinksUpToDate>false</LinksUpToDate>
  <CharactersWithSpaces>14668</CharactersWithSpaces>
  <SharedDoc>false</SharedDoc>
  <HLinks>
    <vt:vector size="120" baseType="variant">
      <vt:variant>
        <vt:i4>4718713</vt:i4>
      </vt:variant>
      <vt:variant>
        <vt:i4>42</vt:i4>
      </vt:variant>
      <vt:variant>
        <vt:i4>0</vt:i4>
      </vt:variant>
      <vt:variant>
        <vt:i4>5</vt:i4>
      </vt:variant>
      <vt:variant>
        <vt:lpwstr>http://www.stateprocurementboard.sa.gov.au/site/policies_guides.aspx</vt:lpwstr>
      </vt:variant>
      <vt:variant>
        <vt:lpwstr/>
      </vt:variant>
      <vt:variant>
        <vt:i4>6029318</vt:i4>
      </vt:variant>
      <vt:variant>
        <vt:i4>39</vt:i4>
      </vt:variant>
      <vt:variant>
        <vt:i4>0</vt:i4>
      </vt:variant>
      <vt:variant>
        <vt:i4>5</vt:i4>
      </vt:variant>
      <vt:variant>
        <vt:lpwstr>http://www.legislation.sa.gov.au/LZ/C/A/CONSTRUCTION INDUSTRY TRAINING FUND ACT 1993.aspx</vt:lpwstr>
      </vt:variant>
      <vt:variant>
        <vt:lpwstr/>
      </vt:variant>
      <vt:variant>
        <vt:i4>3080230</vt:i4>
      </vt:variant>
      <vt:variant>
        <vt:i4>36</vt:i4>
      </vt:variant>
      <vt:variant>
        <vt:i4>0</vt:i4>
      </vt:variant>
      <vt:variant>
        <vt:i4>5</vt:i4>
      </vt:variant>
      <vt:variant>
        <vt:lpwstr>http://www.legislation.sa.gov.au/LZ/C/A/BUILDING WORK CONTRACTORS ACT 1995.aspx</vt:lpwstr>
      </vt:variant>
      <vt:variant>
        <vt:lpwstr/>
      </vt:variant>
      <vt:variant>
        <vt:i4>3997815</vt:i4>
      </vt:variant>
      <vt:variant>
        <vt:i4>33</vt:i4>
      </vt:variant>
      <vt:variant>
        <vt:i4>0</vt:i4>
      </vt:variant>
      <vt:variant>
        <vt:i4>5</vt:i4>
      </vt:variant>
      <vt:variant>
        <vt:lpwstr>http://www.legislation.sa.gov.au/LZ/C/R/STATE PROCUREMENT REGULATIONS 2005.aspx</vt:lpwstr>
      </vt:variant>
      <vt:variant>
        <vt:lpwstr/>
      </vt:variant>
      <vt:variant>
        <vt:i4>4587539</vt:i4>
      </vt:variant>
      <vt:variant>
        <vt:i4>30</vt:i4>
      </vt:variant>
      <vt:variant>
        <vt:i4>0</vt:i4>
      </vt:variant>
      <vt:variant>
        <vt:i4>5</vt:i4>
      </vt:variant>
      <vt:variant>
        <vt:lpwstr>http://www.legislation.sa.gov.au/LZ/C/A/WORK HEALTH AND SAFETY ACT 2012.aspx</vt:lpwstr>
      </vt:variant>
      <vt:variant>
        <vt:lpwstr/>
      </vt:variant>
      <vt:variant>
        <vt:i4>1966150</vt:i4>
      </vt:variant>
      <vt:variant>
        <vt:i4>27</vt:i4>
      </vt:variant>
      <vt:variant>
        <vt:i4>0</vt:i4>
      </vt:variant>
      <vt:variant>
        <vt:i4>5</vt:i4>
      </vt:variant>
      <vt:variant>
        <vt:lpwstr>http://www.parliament.sa.gov.au/Catalog/legislation/Acts/p/1991.50.un.htm</vt:lpwstr>
      </vt:variant>
      <vt:variant>
        <vt:lpwstr/>
      </vt:variant>
      <vt:variant>
        <vt:i4>720934</vt:i4>
      </vt:variant>
      <vt:variant>
        <vt:i4>24</vt:i4>
      </vt:variant>
      <vt:variant>
        <vt:i4>0</vt:i4>
      </vt:variant>
      <vt:variant>
        <vt:i4>5</vt:i4>
      </vt:variant>
      <vt:variant>
        <vt:lpwstr>http://www.parliament.sa.gov.au/dbsearch/display.asp?CALLER=acts-list.htm&amp;IS_QUERY=&amp;IS_PAGE_SIZE=0&amp;SEARCH_PAGE=legislation_search.asp&amp;DOC_INDEX=56&amp;HIGHLIGHT_HITS=False</vt:lpwstr>
      </vt:variant>
      <vt:variant>
        <vt:lpwstr/>
      </vt:variant>
      <vt:variant>
        <vt:i4>2031643</vt:i4>
      </vt:variant>
      <vt:variant>
        <vt:i4>21</vt:i4>
      </vt:variant>
      <vt:variant>
        <vt:i4>0</vt:i4>
      </vt:variant>
      <vt:variant>
        <vt:i4>5</vt:i4>
      </vt:variant>
      <vt:variant>
        <vt:lpwstr/>
      </vt:variant>
      <vt:variant>
        <vt:lpwstr>conjunct</vt:lpwstr>
      </vt:variant>
      <vt:variant>
        <vt:i4>2031643</vt:i4>
      </vt:variant>
      <vt:variant>
        <vt:i4>18</vt:i4>
      </vt:variant>
      <vt:variant>
        <vt:i4>0</vt:i4>
      </vt:variant>
      <vt:variant>
        <vt:i4>5</vt:i4>
      </vt:variant>
      <vt:variant>
        <vt:lpwstr/>
      </vt:variant>
      <vt:variant>
        <vt:lpwstr>conjunct</vt:lpwstr>
      </vt:variant>
      <vt:variant>
        <vt:i4>102</vt:i4>
      </vt:variant>
      <vt:variant>
        <vt:i4>15</vt:i4>
      </vt:variant>
      <vt:variant>
        <vt:i4>0</vt:i4>
      </vt:variant>
      <vt:variant>
        <vt:i4>5</vt:i4>
      </vt:variant>
      <vt:variant>
        <vt:lpwstr/>
      </vt:variant>
      <vt:variant>
        <vt:lpwstr>f</vt:lpwstr>
      </vt:variant>
      <vt:variant>
        <vt:i4>100</vt:i4>
      </vt:variant>
      <vt:variant>
        <vt:i4>12</vt:i4>
      </vt:variant>
      <vt:variant>
        <vt:i4>0</vt:i4>
      </vt:variant>
      <vt:variant>
        <vt:i4>5</vt:i4>
      </vt:variant>
      <vt:variant>
        <vt:lpwstr/>
      </vt:variant>
      <vt:variant>
        <vt:lpwstr>d</vt:lpwstr>
      </vt:variant>
      <vt:variant>
        <vt:i4>98</vt:i4>
      </vt:variant>
      <vt:variant>
        <vt:i4>9</vt:i4>
      </vt:variant>
      <vt:variant>
        <vt:i4>0</vt:i4>
      </vt:variant>
      <vt:variant>
        <vt:i4>5</vt:i4>
      </vt:variant>
      <vt:variant>
        <vt:lpwstr/>
      </vt:variant>
      <vt:variant>
        <vt:lpwstr>b</vt:lpwstr>
      </vt:variant>
      <vt:variant>
        <vt:i4>196621</vt:i4>
      </vt:variant>
      <vt:variant>
        <vt:i4>6</vt:i4>
      </vt:variant>
      <vt:variant>
        <vt:i4>0</vt:i4>
      </vt:variant>
      <vt:variant>
        <vt:i4>5</vt:i4>
      </vt:variant>
      <vt:variant>
        <vt:lpwstr/>
      </vt:variant>
      <vt:variant>
        <vt:lpwstr>services</vt:lpwstr>
      </vt:variant>
      <vt:variant>
        <vt:i4>97</vt:i4>
      </vt:variant>
      <vt:variant>
        <vt:i4>3</vt:i4>
      </vt:variant>
      <vt:variant>
        <vt:i4>0</vt:i4>
      </vt:variant>
      <vt:variant>
        <vt:i4>5</vt:i4>
      </vt:variant>
      <vt:variant>
        <vt:lpwstr/>
      </vt:variant>
      <vt:variant>
        <vt:lpwstr>a</vt:lpwstr>
      </vt:variant>
      <vt:variant>
        <vt:i4>6422647</vt:i4>
      </vt:variant>
      <vt:variant>
        <vt:i4>0</vt:i4>
      </vt:variant>
      <vt:variant>
        <vt:i4>0</vt:i4>
      </vt:variant>
      <vt:variant>
        <vt:i4>5</vt:i4>
      </vt:variant>
      <vt:variant>
        <vt:lpwstr/>
      </vt:variant>
      <vt:variant>
        <vt:lpwstr>definitions</vt:lpwstr>
      </vt:variant>
      <vt:variant>
        <vt:i4>6815807</vt:i4>
      </vt:variant>
      <vt:variant>
        <vt:i4>12</vt:i4>
      </vt:variant>
      <vt:variant>
        <vt:i4>0</vt:i4>
      </vt:variant>
      <vt:variant>
        <vt:i4>5</vt:i4>
      </vt:variant>
      <vt:variant>
        <vt:lpwstr>http://www.legislation.sa.gov.au/LZ/C/A/PARLIAMENTARY COMMITTEES ACT 1991.aspx</vt:lpwstr>
      </vt:variant>
      <vt:variant>
        <vt:lpwstr/>
      </vt:variant>
      <vt:variant>
        <vt:i4>3080230</vt:i4>
      </vt:variant>
      <vt:variant>
        <vt:i4>9</vt:i4>
      </vt:variant>
      <vt:variant>
        <vt:i4>0</vt:i4>
      </vt:variant>
      <vt:variant>
        <vt:i4>5</vt:i4>
      </vt:variant>
      <vt:variant>
        <vt:lpwstr>http://www.legislation.sa.gov.au/LZ/C/A/BUILDING WORK CONTRACTORS ACT 1995.aspx</vt:lpwstr>
      </vt:variant>
      <vt:variant>
        <vt:lpwstr/>
      </vt:variant>
      <vt:variant>
        <vt:i4>3080230</vt:i4>
      </vt:variant>
      <vt:variant>
        <vt:i4>6</vt:i4>
      </vt:variant>
      <vt:variant>
        <vt:i4>0</vt:i4>
      </vt:variant>
      <vt:variant>
        <vt:i4>5</vt:i4>
      </vt:variant>
      <vt:variant>
        <vt:lpwstr>http://www.legislation.sa.gov.au/LZ/C/A/BUILDING WORK CONTRACTORS ACT 1995.aspx</vt:lpwstr>
      </vt:variant>
      <vt:variant>
        <vt:lpwstr/>
      </vt:variant>
      <vt:variant>
        <vt:i4>3997815</vt:i4>
      </vt:variant>
      <vt:variant>
        <vt:i4>3</vt:i4>
      </vt:variant>
      <vt:variant>
        <vt:i4>0</vt:i4>
      </vt:variant>
      <vt:variant>
        <vt:i4>5</vt:i4>
      </vt:variant>
      <vt:variant>
        <vt:lpwstr>http://www.legislation.sa.gov.au/LZ/C/R/STATE PROCUREMENT REGULATIONS 2005.aspx</vt:lpwstr>
      </vt:variant>
      <vt:variant>
        <vt:lpwstr/>
      </vt:variant>
      <vt:variant>
        <vt:i4>2293801</vt:i4>
      </vt:variant>
      <vt:variant>
        <vt:i4>0</vt:i4>
      </vt:variant>
      <vt:variant>
        <vt:i4>0</vt:i4>
      </vt:variant>
      <vt:variant>
        <vt:i4>5</vt:i4>
      </vt:variant>
      <vt:variant>
        <vt:lpwstr>http://dpc.sa.gov.au/premier-and-cabinet-circulars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PROCEDURE</dc:title>
  <dc:creator>JONESREB</dc:creator>
  <cp:lastModifiedBy>Kohlmorgen</cp:lastModifiedBy>
  <cp:revision>2</cp:revision>
  <cp:lastPrinted>2017-11-08T06:23:00Z</cp:lastPrinted>
  <dcterms:created xsi:type="dcterms:W3CDTF">2018-06-03T12:51:00Z</dcterms:created>
  <dcterms:modified xsi:type="dcterms:W3CDTF">2018-06-03T12:51:00Z</dcterms:modified>
</cp:coreProperties>
</file>