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A9" w:rsidRPr="009830DC" w:rsidRDefault="00C126A9" w:rsidP="00C126A9">
      <w:pPr>
        <w:pStyle w:val="FactSheetTitle"/>
      </w:pPr>
      <w:r w:rsidRPr="009830DC">
        <w:t xml:space="preserve">Value Selection </w:t>
      </w:r>
      <w:r w:rsidR="002B736F" w:rsidRPr="009830DC">
        <w:t>o</w:t>
      </w:r>
      <w:r w:rsidRPr="009830DC">
        <w:t>f Construction Tenders</w:t>
      </w:r>
    </w:p>
    <w:p w:rsidR="00C126A9" w:rsidRPr="009830DC" w:rsidRDefault="00C126A9" w:rsidP="00C126A9">
      <w:pPr>
        <w:pStyle w:val="Heading1"/>
      </w:pPr>
      <w:r w:rsidRPr="009830DC">
        <w:t>General</w:t>
      </w:r>
    </w:p>
    <w:p w:rsidR="00FC2121" w:rsidRPr="009830DC" w:rsidRDefault="00C126A9" w:rsidP="00FC2121">
      <w:pPr>
        <w:pStyle w:val="DocumentContent"/>
      </w:pPr>
      <w:r w:rsidRPr="009830DC">
        <w:t xml:space="preserve">The purpose of this guide note is to provide guidance on the value selection of Department </w:t>
      </w:r>
      <w:r w:rsidR="00FF370C">
        <w:t>for Infrastructure &amp; Transport</w:t>
      </w:r>
      <w:r w:rsidRPr="009830DC">
        <w:t xml:space="preserve"> (</w:t>
      </w:r>
      <w:r w:rsidR="002B736F" w:rsidRPr="009830DC">
        <w:t>DI</w:t>
      </w:r>
      <w:r w:rsidR="00FF370C">
        <w:t>T or the Department</w:t>
      </w:r>
      <w:r w:rsidR="002B736F" w:rsidRPr="009830DC">
        <w:t>) building construction tenders</w:t>
      </w:r>
      <w:r w:rsidRPr="009830DC">
        <w:t xml:space="preserve"> and specifically on the use of </w:t>
      </w:r>
      <w:r w:rsidR="00B831AC" w:rsidRPr="009830DC">
        <w:t>services</w:t>
      </w:r>
      <w:r w:rsidRPr="009830DC">
        <w:t xml:space="preserve"> criteria </w:t>
      </w:r>
      <w:r w:rsidR="00FC2121" w:rsidRPr="009830DC">
        <w:t>to provide:</w:t>
      </w:r>
    </w:p>
    <w:p w:rsidR="00FC2121" w:rsidRPr="009830DC" w:rsidRDefault="00FC2121" w:rsidP="00FC2121">
      <w:pPr>
        <w:pStyle w:val="BulletedPoint"/>
        <w:numPr>
          <w:ilvl w:val="0"/>
          <w:numId w:val="3"/>
        </w:numPr>
        <w:tabs>
          <w:tab w:val="left" w:pos="567"/>
        </w:tabs>
      </w:pPr>
      <w:r w:rsidRPr="009830DC">
        <w:t xml:space="preserve">an understanding of the role and use of </w:t>
      </w:r>
      <w:r w:rsidR="00B831AC" w:rsidRPr="009830DC">
        <w:t>services criteria</w:t>
      </w:r>
      <w:r w:rsidRPr="009830DC">
        <w:t xml:space="preserve"> in construction contract tender evaluation</w:t>
      </w:r>
    </w:p>
    <w:p w:rsidR="00FC2121" w:rsidRPr="009830DC" w:rsidRDefault="00FC2121" w:rsidP="00FC2121">
      <w:pPr>
        <w:pStyle w:val="BulletedPoint"/>
        <w:numPr>
          <w:ilvl w:val="0"/>
          <w:numId w:val="3"/>
        </w:numPr>
        <w:tabs>
          <w:tab w:val="left" w:pos="567"/>
        </w:tabs>
      </w:pPr>
      <w:r w:rsidRPr="009830DC">
        <w:t xml:space="preserve">a methodology to determine appropriate </w:t>
      </w:r>
      <w:r w:rsidR="00B831AC" w:rsidRPr="009830DC">
        <w:t>services criteria</w:t>
      </w:r>
      <w:r w:rsidRPr="009830DC">
        <w:t xml:space="preserve"> and weightings</w:t>
      </w:r>
    </w:p>
    <w:p w:rsidR="00FC2121" w:rsidRPr="009830DC" w:rsidRDefault="00FC2121" w:rsidP="00FC2121">
      <w:pPr>
        <w:pStyle w:val="BulletedPoint"/>
        <w:numPr>
          <w:ilvl w:val="0"/>
          <w:numId w:val="3"/>
        </w:numPr>
        <w:tabs>
          <w:tab w:val="left" w:pos="567"/>
        </w:tabs>
      </w:pPr>
      <w:r w:rsidRPr="009830DC">
        <w:t>a process and system for the evaluation of tenders.</w:t>
      </w:r>
    </w:p>
    <w:p w:rsidR="00C126A9" w:rsidRPr="009830DC" w:rsidRDefault="00C126A9" w:rsidP="00C126A9">
      <w:pPr>
        <w:pStyle w:val="DocumentContent"/>
      </w:pPr>
      <w:r w:rsidRPr="009830DC">
        <w:t xml:space="preserve">A critical element of project delivery is selecting the most appropriate contractors for the building project.  The inclusion of </w:t>
      </w:r>
      <w:r w:rsidR="00B831AC" w:rsidRPr="009830DC">
        <w:t>services criteria</w:t>
      </w:r>
      <w:r w:rsidRPr="009830DC">
        <w:t xml:space="preserve"> in the evaluation of construction tenders for building projects contributes to the achievement of the objectives of value for money in major purchasing.</w:t>
      </w:r>
    </w:p>
    <w:p w:rsidR="00C126A9" w:rsidRPr="009830DC" w:rsidRDefault="00C126A9" w:rsidP="00C126A9">
      <w:pPr>
        <w:pStyle w:val="DocumentContent"/>
      </w:pPr>
      <w:r w:rsidRPr="009830DC">
        <w:t>The concept of value for money includes additional factors other than a competitive price.  To achieve value for money</w:t>
      </w:r>
      <w:r w:rsidR="002B736F" w:rsidRPr="009830DC">
        <w:t>,</w:t>
      </w:r>
      <w:r w:rsidRPr="009830DC">
        <w:t xml:space="preserve"> there is general a</w:t>
      </w:r>
      <w:r w:rsidR="002B736F" w:rsidRPr="009830DC">
        <w:t>cceptance that those assessing G</w:t>
      </w:r>
      <w:r w:rsidRPr="009830DC">
        <w:t xml:space="preserve">overnment tenders and </w:t>
      </w:r>
      <w:r w:rsidR="00FF370C">
        <w:t>the Department’s</w:t>
      </w:r>
      <w:r w:rsidRPr="009830DC">
        <w:t xml:space="preserve"> construction tenders in particular, need to consider the following issues in addition to price when making tender recommendations.</w:t>
      </w:r>
    </w:p>
    <w:p w:rsidR="00C126A9" w:rsidRPr="009830DC" w:rsidRDefault="00C126A9" w:rsidP="00C126A9">
      <w:pPr>
        <w:pStyle w:val="BulletedPoint"/>
        <w:numPr>
          <w:ilvl w:val="0"/>
          <w:numId w:val="3"/>
        </w:numPr>
        <w:tabs>
          <w:tab w:val="left" w:pos="567"/>
        </w:tabs>
      </w:pPr>
      <w:r w:rsidRPr="009830DC">
        <w:t>Cost related factors including capital cost, whole of life costs and transaction costs associated with acquisition, use, holding, maintenance, and disposal.</w:t>
      </w:r>
    </w:p>
    <w:p w:rsidR="00C126A9" w:rsidRPr="009830DC" w:rsidRDefault="00C126A9" w:rsidP="00C126A9">
      <w:pPr>
        <w:pStyle w:val="BulletedPoint"/>
        <w:numPr>
          <w:ilvl w:val="0"/>
          <w:numId w:val="3"/>
        </w:numPr>
        <w:tabs>
          <w:tab w:val="left" w:pos="567"/>
        </w:tabs>
      </w:pPr>
      <w:r w:rsidRPr="009830DC">
        <w:t>Non-cost factors such as fitness for purpose, quality, service and support.</w:t>
      </w:r>
    </w:p>
    <w:p w:rsidR="00C126A9" w:rsidRPr="009830DC" w:rsidRDefault="00C126A9" w:rsidP="00C126A9">
      <w:pPr>
        <w:pStyle w:val="BulletedPoint"/>
        <w:numPr>
          <w:ilvl w:val="0"/>
          <w:numId w:val="3"/>
        </w:numPr>
        <w:tabs>
          <w:tab w:val="left" w:pos="567"/>
        </w:tabs>
      </w:pPr>
      <w:r w:rsidRPr="009830DC">
        <w:t>Contribution to the advancement of Government priorities.</w:t>
      </w:r>
    </w:p>
    <w:p w:rsidR="00C126A9" w:rsidRPr="009830DC" w:rsidRDefault="00B831AC" w:rsidP="00C126A9">
      <w:pPr>
        <w:pStyle w:val="DocumentContent"/>
      </w:pPr>
      <w:r w:rsidRPr="009830DC">
        <w:t>Services criteria</w:t>
      </w:r>
      <w:r w:rsidR="00C126A9" w:rsidRPr="009830DC">
        <w:t xml:space="preserve"> can be used to reflect the project and Government priorities and other non-cost factors that may be critical to a project's success by including them in the procurement process.  Priorities and factors could include:</w:t>
      </w:r>
    </w:p>
    <w:p w:rsidR="00C126A9" w:rsidRPr="009830DC" w:rsidRDefault="002B736F" w:rsidP="00C126A9">
      <w:pPr>
        <w:pStyle w:val="BulletedPoint"/>
        <w:numPr>
          <w:ilvl w:val="0"/>
          <w:numId w:val="3"/>
        </w:numPr>
        <w:tabs>
          <w:tab w:val="left" w:pos="567"/>
        </w:tabs>
      </w:pPr>
      <w:r w:rsidRPr="009830DC">
        <w:t>fitness for purpose</w:t>
      </w:r>
    </w:p>
    <w:p w:rsidR="00C126A9" w:rsidRPr="009830DC" w:rsidRDefault="00C126A9" w:rsidP="00C126A9">
      <w:pPr>
        <w:pStyle w:val="BulletedPoint"/>
        <w:numPr>
          <w:ilvl w:val="0"/>
          <w:numId w:val="3"/>
        </w:numPr>
        <w:tabs>
          <w:tab w:val="left" w:pos="567"/>
        </w:tabs>
      </w:pPr>
      <w:r w:rsidRPr="009830DC">
        <w:t>technical issues and compliance with specifi</w:t>
      </w:r>
      <w:r w:rsidR="002B736F" w:rsidRPr="009830DC">
        <w:t>cations</w:t>
      </w:r>
    </w:p>
    <w:p w:rsidR="00C126A9" w:rsidRPr="009830DC" w:rsidRDefault="002B736F" w:rsidP="00C126A9">
      <w:pPr>
        <w:pStyle w:val="BulletedPoint"/>
        <w:numPr>
          <w:ilvl w:val="0"/>
          <w:numId w:val="3"/>
        </w:numPr>
        <w:tabs>
          <w:tab w:val="left" w:pos="567"/>
        </w:tabs>
      </w:pPr>
      <w:r w:rsidRPr="009830DC">
        <w:t>risk exposure</w:t>
      </w:r>
    </w:p>
    <w:p w:rsidR="00C126A9" w:rsidRPr="009830DC" w:rsidRDefault="00C126A9" w:rsidP="00C126A9">
      <w:pPr>
        <w:pStyle w:val="BulletedPoint"/>
        <w:numPr>
          <w:ilvl w:val="0"/>
          <w:numId w:val="3"/>
        </w:numPr>
        <w:tabs>
          <w:tab w:val="left" w:pos="567"/>
        </w:tabs>
      </w:pPr>
      <w:r w:rsidRPr="009830DC">
        <w:t>experi</w:t>
      </w:r>
      <w:r w:rsidR="002B736F" w:rsidRPr="009830DC">
        <w:t>ence and capability of tenderer</w:t>
      </w:r>
    </w:p>
    <w:p w:rsidR="00C126A9" w:rsidRPr="009830DC" w:rsidRDefault="002B736F" w:rsidP="00C126A9">
      <w:pPr>
        <w:pStyle w:val="BulletedPoint"/>
        <w:numPr>
          <w:ilvl w:val="0"/>
          <w:numId w:val="3"/>
        </w:numPr>
        <w:tabs>
          <w:tab w:val="left" w:pos="567"/>
        </w:tabs>
      </w:pPr>
      <w:r w:rsidRPr="009830DC">
        <w:t xml:space="preserve">tenderer </w:t>
      </w:r>
      <w:r w:rsidR="00215212" w:rsidRPr="009830DC">
        <w:t>capability</w:t>
      </w:r>
    </w:p>
    <w:p w:rsidR="00C126A9" w:rsidRPr="009830DC" w:rsidRDefault="00C126A9" w:rsidP="00C126A9">
      <w:pPr>
        <w:pStyle w:val="BulletedPoint"/>
        <w:numPr>
          <w:ilvl w:val="0"/>
          <w:numId w:val="3"/>
        </w:numPr>
        <w:tabs>
          <w:tab w:val="left" w:pos="567"/>
        </w:tabs>
      </w:pPr>
      <w:r w:rsidRPr="009830DC">
        <w:t>the capacity to support local industries and emp</w:t>
      </w:r>
      <w:r w:rsidR="002B736F" w:rsidRPr="009830DC">
        <w:t>loyment in a competitive manner</w:t>
      </w:r>
    </w:p>
    <w:p w:rsidR="00C126A9" w:rsidRPr="009830DC" w:rsidRDefault="00C126A9" w:rsidP="00C126A9">
      <w:pPr>
        <w:pStyle w:val="BulletedPoint"/>
        <w:numPr>
          <w:ilvl w:val="0"/>
          <w:numId w:val="3"/>
        </w:numPr>
        <w:tabs>
          <w:tab w:val="left" w:pos="567"/>
        </w:tabs>
      </w:pPr>
      <w:r w:rsidRPr="009830DC">
        <w:t>training or development opportun</w:t>
      </w:r>
      <w:r w:rsidR="002B736F" w:rsidRPr="009830DC">
        <w:t>ities to foster local expertise</w:t>
      </w:r>
    </w:p>
    <w:p w:rsidR="00C126A9" w:rsidRPr="009830DC" w:rsidRDefault="00C126A9" w:rsidP="00C126A9">
      <w:pPr>
        <w:pStyle w:val="BulletedPoint"/>
        <w:numPr>
          <w:ilvl w:val="0"/>
          <w:numId w:val="3"/>
        </w:numPr>
        <w:tabs>
          <w:tab w:val="left" w:pos="567"/>
        </w:tabs>
      </w:pPr>
      <w:r w:rsidRPr="009830DC">
        <w:t>availability of maintenance and support.</w:t>
      </w:r>
    </w:p>
    <w:p w:rsidR="00C126A9" w:rsidRPr="009830DC" w:rsidRDefault="00C126A9" w:rsidP="00C126A9">
      <w:pPr>
        <w:pStyle w:val="Heading1"/>
      </w:pPr>
      <w:bookmarkStart w:id="0" w:name="_Toc528385884"/>
      <w:bookmarkStart w:id="1" w:name="_Toc528496930"/>
      <w:r w:rsidRPr="009830DC">
        <w:t>Scope</w:t>
      </w:r>
      <w:bookmarkEnd w:id="0"/>
      <w:bookmarkEnd w:id="1"/>
    </w:p>
    <w:p w:rsidR="00C126A9" w:rsidRPr="009830DC" w:rsidRDefault="00C126A9" w:rsidP="00C126A9">
      <w:pPr>
        <w:pStyle w:val="DocumentContent"/>
      </w:pPr>
      <w:r w:rsidRPr="009830DC">
        <w:t xml:space="preserve">This guide note applies to the evaluation </w:t>
      </w:r>
      <w:r w:rsidR="00FF370C">
        <w:t>of construction tenders on all the Department’s</w:t>
      </w:r>
      <w:r w:rsidRPr="009830DC">
        <w:t xml:space="preserve"> building projects exceeding $150,000 in value where value selection has been nominated in the registration of interest and/</w:t>
      </w:r>
      <w:r w:rsidR="002B736F" w:rsidRPr="009830DC">
        <w:t>o</w:t>
      </w:r>
      <w:r w:rsidRPr="009830DC">
        <w:t>r tender documents.</w:t>
      </w:r>
    </w:p>
    <w:p w:rsidR="00C126A9" w:rsidRPr="009830DC" w:rsidRDefault="00C126A9" w:rsidP="00C126A9">
      <w:pPr>
        <w:pStyle w:val="Heading2"/>
      </w:pPr>
      <w:bookmarkStart w:id="2" w:name="_Toc528496931"/>
      <w:r w:rsidRPr="009830DC">
        <w:lastRenderedPageBreak/>
        <w:t>Competencies Required</w:t>
      </w:r>
      <w:bookmarkEnd w:id="2"/>
    </w:p>
    <w:p w:rsidR="00C126A9" w:rsidRPr="009830DC" w:rsidRDefault="00C126A9" w:rsidP="00C126A9">
      <w:pPr>
        <w:pStyle w:val="DocumentContent"/>
      </w:pPr>
      <w:r w:rsidRPr="009830DC">
        <w:t>The competencies required for the tender evaluation panel comprise a range of skills encompassing:</w:t>
      </w:r>
    </w:p>
    <w:p w:rsidR="00C126A9" w:rsidRPr="009830DC" w:rsidRDefault="00C126A9" w:rsidP="00C126A9">
      <w:pPr>
        <w:pStyle w:val="BulletedPoint"/>
        <w:numPr>
          <w:ilvl w:val="0"/>
          <w:numId w:val="3"/>
        </w:numPr>
        <w:tabs>
          <w:tab w:val="left" w:pos="567"/>
        </w:tabs>
      </w:pPr>
      <w:r w:rsidRPr="009830DC">
        <w:t>con</w:t>
      </w:r>
      <w:r w:rsidR="002B736F" w:rsidRPr="009830DC">
        <w:t>struction contracting knowledge</w:t>
      </w:r>
    </w:p>
    <w:p w:rsidR="00C126A9" w:rsidRPr="009830DC" w:rsidRDefault="00C126A9" w:rsidP="00C126A9">
      <w:pPr>
        <w:pStyle w:val="BulletedPoint"/>
        <w:numPr>
          <w:ilvl w:val="0"/>
          <w:numId w:val="3"/>
        </w:numPr>
        <w:tabs>
          <w:tab w:val="left" w:pos="567"/>
        </w:tabs>
      </w:pPr>
      <w:r w:rsidRPr="009830DC">
        <w:t>the abil</w:t>
      </w:r>
      <w:r w:rsidR="002B736F" w:rsidRPr="009830DC">
        <w:t>ity to prepare tender documents</w:t>
      </w:r>
    </w:p>
    <w:p w:rsidR="00C126A9" w:rsidRPr="009830DC" w:rsidRDefault="00C126A9" w:rsidP="00C126A9">
      <w:pPr>
        <w:pStyle w:val="BulletedPoint"/>
        <w:numPr>
          <w:ilvl w:val="0"/>
          <w:numId w:val="3"/>
        </w:numPr>
        <w:tabs>
          <w:tab w:val="left" w:pos="567"/>
        </w:tabs>
      </w:pPr>
      <w:r w:rsidRPr="009830DC">
        <w:t>technical knowledge of the project and the capability to fully understand a</w:t>
      </w:r>
      <w:r w:rsidR="002B736F" w:rsidRPr="009830DC">
        <w:t>nd interpret tender submissions</w:t>
      </w:r>
    </w:p>
    <w:p w:rsidR="00C126A9" w:rsidRPr="009830DC" w:rsidRDefault="00C126A9" w:rsidP="00C126A9">
      <w:pPr>
        <w:pStyle w:val="BulletedPoint"/>
        <w:numPr>
          <w:ilvl w:val="0"/>
          <w:numId w:val="3"/>
        </w:numPr>
        <w:tabs>
          <w:tab w:val="left" w:pos="567"/>
        </w:tabs>
      </w:pPr>
      <w:r w:rsidRPr="009830DC">
        <w:t>sound knowledge of SA Government p</w:t>
      </w:r>
      <w:r w:rsidR="002B736F" w:rsidRPr="009830DC">
        <w:t>urchasing policies</w:t>
      </w:r>
    </w:p>
    <w:p w:rsidR="00C126A9" w:rsidRPr="009830DC" w:rsidRDefault="00C126A9" w:rsidP="00C126A9">
      <w:pPr>
        <w:pStyle w:val="BulletedPoint"/>
        <w:numPr>
          <w:ilvl w:val="0"/>
          <w:numId w:val="3"/>
        </w:numPr>
        <w:tabs>
          <w:tab w:val="left" w:pos="567"/>
        </w:tabs>
      </w:pPr>
      <w:r w:rsidRPr="009830DC">
        <w:t>proficiency in the application o</w:t>
      </w:r>
      <w:r w:rsidR="002B736F" w:rsidRPr="009830DC">
        <w:t>f the tender evaluation process</w:t>
      </w:r>
    </w:p>
    <w:p w:rsidR="00C126A9" w:rsidRPr="009830DC" w:rsidRDefault="00C126A9" w:rsidP="00C126A9">
      <w:pPr>
        <w:pStyle w:val="BulletedPoint"/>
        <w:numPr>
          <w:ilvl w:val="0"/>
          <w:numId w:val="3"/>
        </w:numPr>
        <w:tabs>
          <w:tab w:val="left" w:pos="567"/>
        </w:tabs>
      </w:pPr>
      <w:r w:rsidRPr="009830DC">
        <w:t>understanding of the impacts of legislation and common law.</w:t>
      </w:r>
    </w:p>
    <w:p w:rsidR="00C126A9" w:rsidRPr="009830DC" w:rsidRDefault="008C7202" w:rsidP="00C126A9">
      <w:pPr>
        <w:pStyle w:val="Heading2"/>
      </w:pPr>
      <w:bookmarkStart w:id="3" w:name="_Toc528496932"/>
      <w:r w:rsidRPr="009830DC">
        <w:t>Related D</w:t>
      </w:r>
      <w:r w:rsidR="00C126A9" w:rsidRPr="009830DC">
        <w:t>ocuments</w:t>
      </w:r>
      <w:bookmarkEnd w:id="3"/>
    </w:p>
    <w:p w:rsidR="00C126A9" w:rsidRPr="009830DC" w:rsidRDefault="00C126A9" w:rsidP="00C126A9">
      <w:pPr>
        <w:pStyle w:val="DocumentContent"/>
      </w:pPr>
      <w:r w:rsidRPr="009830DC">
        <w:t>Other policies and standards that impact on this guide note include:</w:t>
      </w:r>
    </w:p>
    <w:p w:rsidR="00C126A9" w:rsidRPr="009830DC" w:rsidRDefault="00C126A9" w:rsidP="00C126A9">
      <w:pPr>
        <w:pStyle w:val="BulletedPoint"/>
        <w:numPr>
          <w:ilvl w:val="0"/>
          <w:numId w:val="3"/>
        </w:numPr>
        <w:tabs>
          <w:tab w:val="left" w:pos="567"/>
        </w:tabs>
        <w:rPr>
          <w:color w:val="C00000"/>
        </w:rPr>
      </w:pPr>
      <w:r w:rsidRPr="00F92DD8">
        <w:rPr>
          <w:rStyle w:val="Hyperlink"/>
          <w:color w:val="C00000"/>
        </w:rPr>
        <w:t xml:space="preserve">Code of Practice for the </w:t>
      </w:r>
      <w:r w:rsidR="00CF78B1" w:rsidRPr="00F92DD8">
        <w:rPr>
          <w:rStyle w:val="Hyperlink"/>
          <w:color w:val="C00000"/>
        </w:rPr>
        <w:t xml:space="preserve">South Australian </w:t>
      </w:r>
      <w:r w:rsidRPr="00F92DD8">
        <w:rPr>
          <w:rStyle w:val="Hyperlink"/>
          <w:color w:val="C00000"/>
        </w:rPr>
        <w:t>Construction Industry</w:t>
      </w:r>
    </w:p>
    <w:p w:rsidR="00C126A9" w:rsidRPr="009830DC" w:rsidRDefault="00CF78B1" w:rsidP="00C126A9">
      <w:pPr>
        <w:pStyle w:val="BulletedPoint"/>
        <w:numPr>
          <w:ilvl w:val="0"/>
          <w:numId w:val="3"/>
        </w:numPr>
        <w:tabs>
          <w:tab w:val="left" w:pos="567"/>
        </w:tabs>
      </w:pPr>
      <w:r w:rsidRPr="009830DC">
        <w:t xml:space="preserve">Australian Standard </w:t>
      </w:r>
      <w:r w:rsidR="00C126A9" w:rsidRPr="009830DC">
        <w:t>AS</w:t>
      </w:r>
      <w:r w:rsidR="004B0E14" w:rsidRPr="009830DC">
        <w:t> </w:t>
      </w:r>
      <w:r w:rsidR="00C126A9" w:rsidRPr="009830DC">
        <w:t>4120</w:t>
      </w:r>
      <w:r w:rsidR="008058F9" w:rsidRPr="009830DC">
        <w:t>-1994</w:t>
      </w:r>
      <w:r w:rsidR="00C126A9" w:rsidRPr="009830DC">
        <w:t xml:space="preserve"> Code of </w:t>
      </w:r>
      <w:r w:rsidRPr="009830DC">
        <w:t>t</w:t>
      </w:r>
      <w:r w:rsidR="00C126A9" w:rsidRPr="009830DC">
        <w:t>endering</w:t>
      </w:r>
    </w:p>
    <w:p w:rsidR="00C126A9" w:rsidRPr="009830DC" w:rsidRDefault="00C126A9" w:rsidP="00C126A9">
      <w:pPr>
        <w:pStyle w:val="Heading1"/>
      </w:pPr>
      <w:bookmarkStart w:id="4" w:name="_Toc528496933"/>
      <w:r w:rsidRPr="009830DC">
        <w:t xml:space="preserve">Use of </w:t>
      </w:r>
      <w:r w:rsidR="00B831AC" w:rsidRPr="009830DC">
        <w:t>Services</w:t>
      </w:r>
      <w:r w:rsidRPr="009830DC">
        <w:t xml:space="preserve"> Criteria</w:t>
      </w:r>
      <w:bookmarkEnd w:id="4"/>
    </w:p>
    <w:p w:rsidR="00C126A9" w:rsidRPr="009830DC" w:rsidRDefault="00B831AC" w:rsidP="00C126A9">
      <w:pPr>
        <w:pStyle w:val="DocumentContent"/>
      </w:pPr>
      <w:r w:rsidRPr="009830DC">
        <w:t>Services criteria</w:t>
      </w:r>
      <w:r w:rsidR="00C126A9" w:rsidRPr="009830DC">
        <w:t xml:space="preserve"> are included in the tender evaluation process to provide greater certainty of project outcomes.  The inclusion of </w:t>
      </w:r>
      <w:r w:rsidRPr="009830DC">
        <w:t>services criteria</w:t>
      </w:r>
      <w:r w:rsidR="00C126A9" w:rsidRPr="009830DC">
        <w:t xml:space="preserve"> in the tender evaluation process is based on the recognition that:</w:t>
      </w:r>
    </w:p>
    <w:p w:rsidR="00C126A9" w:rsidRPr="009830DC" w:rsidRDefault="00C126A9" w:rsidP="00C126A9">
      <w:pPr>
        <w:pStyle w:val="BulletedPoint"/>
        <w:numPr>
          <w:ilvl w:val="0"/>
          <w:numId w:val="3"/>
        </w:numPr>
        <w:tabs>
          <w:tab w:val="left" w:pos="567"/>
        </w:tabs>
      </w:pPr>
      <w:r w:rsidRPr="009830DC">
        <w:t>the lowest priced conforming tender does not necessarily</w:t>
      </w:r>
      <w:r w:rsidR="002B736F" w:rsidRPr="009830DC">
        <w:t xml:space="preserve"> represent best value for money</w:t>
      </w:r>
    </w:p>
    <w:p w:rsidR="00C126A9" w:rsidRPr="009830DC" w:rsidRDefault="00C126A9" w:rsidP="00C126A9">
      <w:pPr>
        <w:pStyle w:val="BulletedPoint"/>
        <w:numPr>
          <w:ilvl w:val="0"/>
          <w:numId w:val="3"/>
        </w:numPr>
        <w:tabs>
          <w:tab w:val="left" w:pos="567"/>
        </w:tabs>
      </w:pPr>
      <w:r w:rsidRPr="009830DC">
        <w:t>critical project requirements may be better satisfied by contractors who demonstrat</w:t>
      </w:r>
      <w:r w:rsidR="002B736F" w:rsidRPr="009830DC">
        <w:t>e specific skills or experience</w:t>
      </w:r>
    </w:p>
    <w:p w:rsidR="00C126A9" w:rsidRPr="009830DC" w:rsidRDefault="00B831AC" w:rsidP="00C126A9">
      <w:pPr>
        <w:pStyle w:val="BulletedPoint"/>
        <w:numPr>
          <w:ilvl w:val="0"/>
          <w:numId w:val="3"/>
        </w:numPr>
        <w:tabs>
          <w:tab w:val="left" w:pos="567"/>
        </w:tabs>
      </w:pPr>
      <w:r w:rsidRPr="009830DC">
        <w:t>services</w:t>
      </w:r>
      <w:r w:rsidR="00C126A9" w:rsidRPr="009830DC">
        <w:t xml:space="preserve"> evaluation criteria have a role in the realisation of Government priorities and project outcomes.</w:t>
      </w:r>
    </w:p>
    <w:p w:rsidR="00C126A9" w:rsidRPr="009830DC" w:rsidRDefault="00B831AC" w:rsidP="00C126A9">
      <w:pPr>
        <w:pStyle w:val="DocumentContent"/>
      </w:pPr>
      <w:r w:rsidRPr="009830DC">
        <w:t>Services criteria</w:t>
      </w:r>
      <w:r w:rsidR="00C126A9" w:rsidRPr="009830DC">
        <w:t xml:space="preserve"> provide a mechanism for assessing each tenderer's approach to the project.  The scoring reflects the manner in which the tenderer demonstrates capability and experience and addresses methodology, resource strategy and other criteria.  To ensure that </w:t>
      </w:r>
      <w:r w:rsidRPr="009830DC">
        <w:t>services criteria</w:t>
      </w:r>
      <w:r w:rsidR="00C126A9" w:rsidRPr="009830DC">
        <w:t xml:space="preserve"> are used effectively, the following strategies should be employed.</w:t>
      </w:r>
    </w:p>
    <w:p w:rsidR="00C126A9" w:rsidRPr="009830DC" w:rsidRDefault="00C126A9" w:rsidP="00C126A9">
      <w:pPr>
        <w:pStyle w:val="BulletedPoint"/>
        <w:numPr>
          <w:ilvl w:val="0"/>
          <w:numId w:val="3"/>
        </w:numPr>
        <w:tabs>
          <w:tab w:val="left" w:pos="567"/>
        </w:tabs>
      </w:pPr>
      <w:r w:rsidRPr="009830DC">
        <w:t xml:space="preserve">Eligible tenderers need to be informed of the </w:t>
      </w:r>
      <w:r w:rsidR="00B831AC" w:rsidRPr="009830DC">
        <w:t>services criteria</w:t>
      </w:r>
      <w:r w:rsidRPr="009830DC">
        <w:t xml:space="preserve"> and the information required in their tender submissions.</w:t>
      </w:r>
    </w:p>
    <w:p w:rsidR="00C126A9" w:rsidRPr="009830DC" w:rsidRDefault="00C126A9" w:rsidP="00C126A9">
      <w:pPr>
        <w:pStyle w:val="BulletedPoint"/>
        <w:numPr>
          <w:ilvl w:val="0"/>
          <w:numId w:val="3"/>
        </w:numPr>
        <w:tabs>
          <w:tab w:val="left" w:pos="567"/>
        </w:tabs>
      </w:pPr>
      <w:r w:rsidRPr="009830DC">
        <w:t xml:space="preserve">The information in support of </w:t>
      </w:r>
      <w:r w:rsidR="00B831AC" w:rsidRPr="009830DC">
        <w:t>services criteria</w:t>
      </w:r>
      <w:r w:rsidRPr="009830DC">
        <w:t xml:space="preserve"> needs to be requested in a format that enables measurement and comparison of all tenders.</w:t>
      </w:r>
    </w:p>
    <w:p w:rsidR="00C126A9" w:rsidRPr="009830DC" w:rsidRDefault="00C126A9" w:rsidP="00C126A9">
      <w:pPr>
        <w:pStyle w:val="BulletedPoint"/>
        <w:numPr>
          <w:ilvl w:val="0"/>
          <w:numId w:val="3"/>
        </w:numPr>
        <w:tabs>
          <w:tab w:val="left" w:pos="567"/>
        </w:tabs>
      </w:pPr>
      <w:r w:rsidRPr="009830DC">
        <w:t xml:space="preserve">Issues associated with the use of </w:t>
      </w:r>
      <w:r w:rsidR="00B831AC" w:rsidRPr="009830DC">
        <w:t>services criteria</w:t>
      </w:r>
      <w:r w:rsidRPr="009830DC">
        <w:t xml:space="preserve"> include ensuring:</w:t>
      </w:r>
    </w:p>
    <w:p w:rsidR="00C126A9" w:rsidRPr="009830DC" w:rsidRDefault="00C126A9" w:rsidP="00C074B4">
      <w:pPr>
        <w:pStyle w:val="SubBulletedPoint"/>
      </w:pPr>
      <w:r w:rsidRPr="009830DC">
        <w:t>the criteria elicits meanin</w:t>
      </w:r>
      <w:r w:rsidR="002B736F" w:rsidRPr="009830DC">
        <w:t>gful information from tenderers</w:t>
      </w:r>
    </w:p>
    <w:p w:rsidR="00C126A9" w:rsidRPr="009830DC" w:rsidRDefault="00C126A9" w:rsidP="00C074B4">
      <w:pPr>
        <w:pStyle w:val="SubBulletedPoint"/>
      </w:pPr>
      <w:r w:rsidRPr="009830DC">
        <w:t>the information provided by tenderers is in a format that al</w:t>
      </w:r>
      <w:r w:rsidR="002B736F" w:rsidRPr="009830DC">
        <w:t>lows easy comparison of tenders</w:t>
      </w:r>
    </w:p>
    <w:p w:rsidR="00C126A9" w:rsidRPr="009830DC" w:rsidRDefault="00C126A9" w:rsidP="00C074B4">
      <w:pPr>
        <w:pStyle w:val="SubBulletedPoint"/>
      </w:pPr>
      <w:r w:rsidRPr="009830DC">
        <w:t xml:space="preserve">the information provided at the time </w:t>
      </w:r>
      <w:r w:rsidR="002B736F" w:rsidRPr="009830DC">
        <w:t>of tendering is easily verified</w:t>
      </w:r>
    </w:p>
    <w:p w:rsidR="00C126A9" w:rsidRPr="009830DC" w:rsidRDefault="00C126A9" w:rsidP="00C074B4">
      <w:pPr>
        <w:pStyle w:val="SubBulletedPoint"/>
      </w:pPr>
      <w:r w:rsidRPr="009830DC">
        <w:t>tenderers understand how to respo</w:t>
      </w:r>
      <w:r w:rsidR="002B736F" w:rsidRPr="009830DC">
        <w:t>nd to the criteria</w:t>
      </w:r>
    </w:p>
    <w:p w:rsidR="00C126A9" w:rsidRPr="009830DC" w:rsidRDefault="00C126A9" w:rsidP="00C074B4">
      <w:pPr>
        <w:pStyle w:val="SubBulletedPoint"/>
      </w:pPr>
      <w:r w:rsidRPr="009830DC">
        <w:t xml:space="preserve">tenderers understand at an overview level the evaluation panel’s judgement of the relative importance of </w:t>
      </w:r>
      <w:r w:rsidR="00B831AC" w:rsidRPr="009830DC">
        <w:t>services criteria</w:t>
      </w:r>
      <w:r w:rsidRPr="009830DC">
        <w:t xml:space="preserve"> to Price.</w:t>
      </w:r>
    </w:p>
    <w:p w:rsidR="00C126A9" w:rsidRPr="009830DC" w:rsidRDefault="00C126A9" w:rsidP="00C126A9">
      <w:pPr>
        <w:pStyle w:val="Heading1"/>
      </w:pPr>
      <w:bookmarkStart w:id="5" w:name="_Toc528496935"/>
      <w:r w:rsidRPr="009830DC">
        <w:lastRenderedPageBreak/>
        <w:t xml:space="preserve">When to use </w:t>
      </w:r>
      <w:r w:rsidR="00B831AC" w:rsidRPr="009830DC">
        <w:t>Services</w:t>
      </w:r>
      <w:r w:rsidRPr="009830DC">
        <w:t xml:space="preserve"> C</w:t>
      </w:r>
      <w:bookmarkEnd w:id="5"/>
      <w:r w:rsidRPr="009830DC">
        <w:t>riteria</w:t>
      </w:r>
    </w:p>
    <w:p w:rsidR="00C126A9" w:rsidRPr="009830DC" w:rsidRDefault="00C126A9" w:rsidP="00C126A9">
      <w:pPr>
        <w:pStyle w:val="DocumentContent"/>
      </w:pPr>
      <w:r w:rsidRPr="009830DC">
        <w:t xml:space="preserve">The use of </w:t>
      </w:r>
      <w:r w:rsidR="00B831AC" w:rsidRPr="009830DC">
        <w:t>services criteria</w:t>
      </w:r>
      <w:r w:rsidRPr="009830DC">
        <w:t xml:space="preserve"> will depend on a number of key factors, namely:</w:t>
      </w:r>
    </w:p>
    <w:p w:rsidR="00C126A9" w:rsidRPr="009830DC" w:rsidRDefault="002B736F" w:rsidP="00C126A9">
      <w:pPr>
        <w:pStyle w:val="BulletedPoint"/>
        <w:numPr>
          <w:ilvl w:val="0"/>
          <w:numId w:val="3"/>
        </w:numPr>
        <w:tabs>
          <w:tab w:val="left" w:pos="567"/>
        </w:tabs>
      </w:pPr>
      <w:r w:rsidRPr="009830DC">
        <w:t>value of the project</w:t>
      </w:r>
    </w:p>
    <w:p w:rsidR="00C126A9" w:rsidRPr="009830DC" w:rsidRDefault="002B736F" w:rsidP="00C126A9">
      <w:pPr>
        <w:pStyle w:val="BulletedPoint"/>
        <w:numPr>
          <w:ilvl w:val="0"/>
          <w:numId w:val="3"/>
        </w:numPr>
        <w:tabs>
          <w:tab w:val="left" w:pos="567"/>
        </w:tabs>
      </w:pPr>
      <w:r w:rsidRPr="009830DC">
        <w:t>project risk profile</w:t>
      </w:r>
    </w:p>
    <w:p w:rsidR="00C126A9" w:rsidRPr="009830DC" w:rsidRDefault="002B736F" w:rsidP="00C126A9">
      <w:pPr>
        <w:pStyle w:val="BulletedPoint"/>
        <w:numPr>
          <w:ilvl w:val="0"/>
          <w:numId w:val="3"/>
        </w:numPr>
        <w:tabs>
          <w:tab w:val="left" w:pos="567"/>
        </w:tabs>
      </w:pPr>
      <w:r w:rsidRPr="009830DC">
        <w:t>project procurement method</w:t>
      </w:r>
    </w:p>
    <w:p w:rsidR="00C126A9" w:rsidRPr="009830DC" w:rsidRDefault="00C126A9" w:rsidP="00C126A9">
      <w:pPr>
        <w:pStyle w:val="BulletedPoint"/>
        <w:numPr>
          <w:ilvl w:val="0"/>
          <w:numId w:val="3"/>
        </w:numPr>
        <w:tabs>
          <w:tab w:val="left" w:pos="567"/>
        </w:tabs>
      </w:pPr>
      <w:r w:rsidRPr="009830DC">
        <w:t>whether the project is of regional or strategic significance.</w:t>
      </w:r>
    </w:p>
    <w:p w:rsidR="00C126A9" w:rsidRPr="009830DC" w:rsidRDefault="00C126A9" w:rsidP="00C126A9">
      <w:pPr>
        <w:pStyle w:val="DocumentContent"/>
      </w:pPr>
      <w:r w:rsidRPr="009830DC">
        <w:t>The table below gives an indication of the D</w:t>
      </w:r>
      <w:r w:rsidR="002B736F" w:rsidRPr="009830DC">
        <w:t>P</w:t>
      </w:r>
      <w:r w:rsidRPr="009830DC">
        <w:t>TI assessment of when value selection might appropriately be applied to the evaluation of construction tenders.</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39"/>
        <w:gridCol w:w="2339"/>
        <w:gridCol w:w="2339"/>
        <w:gridCol w:w="2339"/>
      </w:tblGrid>
      <w:tr w:rsidR="00C126A9" w:rsidRPr="009830DC" w:rsidTr="00587678">
        <w:tc>
          <w:tcPr>
            <w:tcW w:w="2339" w:type="dxa"/>
            <w:shd w:val="clear" w:color="auto" w:fill="BEB97E"/>
          </w:tcPr>
          <w:p w:rsidR="00C126A9" w:rsidRPr="009830DC" w:rsidRDefault="00C126A9" w:rsidP="00D45B01">
            <w:pPr>
              <w:pStyle w:val="StyleTableContentBold"/>
              <w:jc w:val="center"/>
            </w:pPr>
            <w:r w:rsidRPr="009830DC">
              <w:t>Procurement Method</w:t>
            </w:r>
          </w:p>
        </w:tc>
        <w:tc>
          <w:tcPr>
            <w:tcW w:w="2339" w:type="dxa"/>
            <w:shd w:val="clear" w:color="auto" w:fill="BEB97E"/>
          </w:tcPr>
          <w:p w:rsidR="00C126A9" w:rsidRPr="009830DC" w:rsidRDefault="00C126A9" w:rsidP="00D45B01">
            <w:pPr>
              <w:pStyle w:val="StyleTableContentBold"/>
              <w:jc w:val="center"/>
            </w:pPr>
            <w:r w:rsidRPr="009830DC">
              <w:t xml:space="preserve">Projects </w:t>
            </w:r>
            <w:r w:rsidR="008C7202" w:rsidRPr="009830DC">
              <w:br/>
            </w:r>
            <w:r w:rsidRPr="009830DC">
              <w:t>&gt;$10M</w:t>
            </w:r>
          </w:p>
        </w:tc>
        <w:tc>
          <w:tcPr>
            <w:tcW w:w="2339" w:type="dxa"/>
            <w:shd w:val="clear" w:color="auto" w:fill="BEB97E"/>
          </w:tcPr>
          <w:p w:rsidR="00C126A9" w:rsidRPr="009830DC" w:rsidRDefault="00C126A9" w:rsidP="00D45B01">
            <w:pPr>
              <w:pStyle w:val="StyleTableContentBold"/>
              <w:jc w:val="center"/>
            </w:pPr>
            <w:r w:rsidRPr="009830DC">
              <w:t xml:space="preserve">High </w:t>
            </w:r>
            <w:r w:rsidR="008C7202" w:rsidRPr="009830DC">
              <w:t>R</w:t>
            </w:r>
            <w:r w:rsidRPr="009830DC">
              <w:t xml:space="preserve">isk </w:t>
            </w:r>
            <w:r w:rsidR="008C7202" w:rsidRPr="009830DC">
              <w:t>P</w:t>
            </w:r>
            <w:r w:rsidRPr="009830DC">
              <w:t>rojects $4M to $10M</w:t>
            </w:r>
          </w:p>
        </w:tc>
        <w:tc>
          <w:tcPr>
            <w:tcW w:w="2339" w:type="dxa"/>
            <w:shd w:val="clear" w:color="auto" w:fill="BEB97E"/>
          </w:tcPr>
          <w:p w:rsidR="00C126A9" w:rsidRPr="009830DC" w:rsidRDefault="00C126A9" w:rsidP="00D45B01">
            <w:pPr>
              <w:pStyle w:val="StyleTableContentBold"/>
              <w:jc w:val="center"/>
            </w:pPr>
            <w:r w:rsidRPr="009830DC">
              <w:t xml:space="preserve">Projects </w:t>
            </w:r>
            <w:r w:rsidR="008C7202" w:rsidRPr="009830DC">
              <w:br/>
            </w:r>
            <w:r w:rsidRPr="009830DC">
              <w:t>$0.15M to $4M</w:t>
            </w:r>
          </w:p>
        </w:tc>
      </w:tr>
      <w:tr w:rsidR="00C126A9" w:rsidRPr="009830DC" w:rsidTr="00F03B35">
        <w:trPr>
          <w:cantSplit/>
        </w:trPr>
        <w:tc>
          <w:tcPr>
            <w:tcW w:w="2339" w:type="dxa"/>
          </w:tcPr>
          <w:p w:rsidR="00C126A9" w:rsidRPr="009830DC" w:rsidRDefault="00C126A9" w:rsidP="00D45B01">
            <w:pPr>
              <w:pStyle w:val="TableContent"/>
              <w:jc w:val="center"/>
            </w:pPr>
            <w:r w:rsidRPr="009830DC">
              <w:t>Traditional</w:t>
            </w:r>
          </w:p>
        </w:tc>
        <w:tc>
          <w:tcPr>
            <w:tcW w:w="2339" w:type="dxa"/>
          </w:tcPr>
          <w:p w:rsidR="00C126A9" w:rsidRPr="009830DC" w:rsidRDefault="00C126A9" w:rsidP="00D45B01">
            <w:pPr>
              <w:pStyle w:val="TableContent"/>
              <w:jc w:val="center"/>
            </w:pPr>
            <w:r w:rsidRPr="009830DC">
              <w:t>Recommended</w:t>
            </w:r>
          </w:p>
        </w:tc>
        <w:tc>
          <w:tcPr>
            <w:tcW w:w="2339" w:type="dxa"/>
          </w:tcPr>
          <w:p w:rsidR="00C126A9" w:rsidRPr="009830DC" w:rsidRDefault="00C126A9" w:rsidP="00D45B01">
            <w:pPr>
              <w:pStyle w:val="TableContent"/>
              <w:jc w:val="center"/>
            </w:pPr>
            <w:r w:rsidRPr="009830DC">
              <w:t>Consider</w:t>
            </w:r>
          </w:p>
        </w:tc>
        <w:tc>
          <w:tcPr>
            <w:tcW w:w="2339" w:type="dxa"/>
          </w:tcPr>
          <w:p w:rsidR="00C126A9" w:rsidRPr="009830DC" w:rsidRDefault="00C126A9" w:rsidP="00D45B01">
            <w:pPr>
              <w:pStyle w:val="TableContent"/>
              <w:jc w:val="center"/>
            </w:pPr>
            <w:r w:rsidRPr="009830DC">
              <w:t>Not recommended</w:t>
            </w:r>
          </w:p>
        </w:tc>
      </w:tr>
      <w:tr w:rsidR="00C126A9" w:rsidRPr="009830DC" w:rsidTr="00F03B35">
        <w:trPr>
          <w:cantSplit/>
        </w:trPr>
        <w:tc>
          <w:tcPr>
            <w:tcW w:w="2339" w:type="dxa"/>
          </w:tcPr>
          <w:p w:rsidR="00C126A9" w:rsidRPr="009830DC" w:rsidRDefault="00C126A9" w:rsidP="00D45B01">
            <w:pPr>
              <w:pStyle w:val="TableContent"/>
              <w:jc w:val="center"/>
            </w:pPr>
            <w:r w:rsidRPr="009830DC">
              <w:t>Non-traditional</w:t>
            </w:r>
          </w:p>
        </w:tc>
        <w:tc>
          <w:tcPr>
            <w:tcW w:w="2339" w:type="dxa"/>
          </w:tcPr>
          <w:p w:rsidR="00C126A9" w:rsidRPr="009830DC" w:rsidRDefault="00C126A9" w:rsidP="00D45B01">
            <w:pPr>
              <w:pStyle w:val="TableContent"/>
              <w:jc w:val="center"/>
            </w:pPr>
            <w:r w:rsidRPr="009830DC">
              <w:t>Highly Recommended</w:t>
            </w:r>
          </w:p>
        </w:tc>
        <w:tc>
          <w:tcPr>
            <w:tcW w:w="2339" w:type="dxa"/>
          </w:tcPr>
          <w:p w:rsidR="00C126A9" w:rsidRPr="009830DC" w:rsidRDefault="00C126A9" w:rsidP="00D45B01">
            <w:pPr>
              <w:pStyle w:val="TableContent"/>
              <w:jc w:val="center"/>
            </w:pPr>
            <w:r w:rsidRPr="009830DC">
              <w:t>Recommended</w:t>
            </w:r>
          </w:p>
        </w:tc>
        <w:tc>
          <w:tcPr>
            <w:tcW w:w="2339" w:type="dxa"/>
          </w:tcPr>
          <w:p w:rsidR="00C126A9" w:rsidRPr="009830DC" w:rsidRDefault="00C126A9" w:rsidP="00D45B01">
            <w:pPr>
              <w:pStyle w:val="TableContent"/>
              <w:jc w:val="center"/>
            </w:pPr>
            <w:r w:rsidRPr="009830DC">
              <w:t>Consider</w:t>
            </w:r>
          </w:p>
        </w:tc>
      </w:tr>
      <w:tr w:rsidR="00C126A9" w:rsidRPr="009830DC" w:rsidTr="00F03B35">
        <w:trPr>
          <w:cantSplit/>
        </w:trPr>
        <w:tc>
          <w:tcPr>
            <w:tcW w:w="2339" w:type="dxa"/>
          </w:tcPr>
          <w:p w:rsidR="00C126A9" w:rsidRPr="009830DC" w:rsidRDefault="00C126A9" w:rsidP="00D45B01">
            <w:pPr>
              <w:pStyle w:val="TableContent"/>
              <w:jc w:val="center"/>
            </w:pPr>
            <w:r w:rsidRPr="009830DC">
              <w:t>Fee only</w:t>
            </w:r>
          </w:p>
        </w:tc>
        <w:tc>
          <w:tcPr>
            <w:tcW w:w="2339" w:type="dxa"/>
          </w:tcPr>
          <w:p w:rsidR="00C126A9" w:rsidRPr="009830DC" w:rsidRDefault="00C126A9" w:rsidP="00D45B01">
            <w:pPr>
              <w:pStyle w:val="TableContent"/>
              <w:jc w:val="center"/>
            </w:pPr>
            <w:r w:rsidRPr="009830DC">
              <w:t>Highly Recommended</w:t>
            </w:r>
          </w:p>
        </w:tc>
        <w:tc>
          <w:tcPr>
            <w:tcW w:w="2339" w:type="dxa"/>
          </w:tcPr>
          <w:p w:rsidR="00C126A9" w:rsidRPr="009830DC" w:rsidRDefault="00C126A9" w:rsidP="00D45B01">
            <w:pPr>
              <w:pStyle w:val="TableContent"/>
              <w:jc w:val="center"/>
            </w:pPr>
            <w:r w:rsidRPr="009830DC">
              <w:t>Highly Recommended</w:t>
            </w:r>
          </w:p>
        </w:tc>
        <w:tc>
          <w:tcPr>
            <w:tcW w:w="2339" w:type="dxa"/>
          </w:tcPr>
          <w:p w:rsidR="00C126A9" w:rsidRPr="009830DC" w:rsidRDefault="00C126A9" w:rsidP="00D45B01">
            <w:pPr>
              <w:pStyle w:val="TableContent"/>
              <w:jc w:val="center"/>
            </w:pPr>
            <w:r w:rsidRPr="009830DC">
              <w:t>Recommended</w:t>
            </w:r>
          </w:p>
        </w:tc>
      </w:tr>
    </w:tbl>
    <w:p w:rsidR="008C7202" w:rsidRPr="009830DC" w:rsidRDefault="008C7202" w:rsidP="00C126A9">
      <w:pPr>
        <w:pStyle w:val="DocumentContent"/>
      </w:pPr>
    </w:p>
    <w:p w:rsidR="00C126A9" w:rsidRPr="009830DC" w:rsidRDefault="00C126A9" w:rsidP="00C126A9">
      <w:pPr>
        <w:pStyle w:val="DocumentContent"/>
      </w:pPr>
      <w:r w:rsidRPr="009830DC">
        <w:t xml:space="preserve">In determining the use of </w:t>
      </w:r>
      <w:r w:rsidR="00B831AC" w:rsidRPr="009830DC">
        <w:t>services criteria</w:t>
      </w:r>
      <w:r w:rsidRPr="009830DC">
        <w:t>, the followi</w:t>
      </w:r>
      <w:r w:rsidR="008C7202" w:rsidRPr="009830DC">
        <w:t>ng issues need to be considered.</w:t>
      </w:r>
    </w:p>
    <w:p w:rsidR="00C126A9" w:rsidRPr="009830DC" w:rsidRDefault="008C7202" w:rsidP="00C126A9">
      <w:pPr>
        <w:pStyle w:val="BulletedPoint"/>
        <w:numPr>
          <w:ilvl w:val="0"/>
          <w:numId w:val="3"/>
        </w:numPr>
        <w:tabs>
          <w:tab w:val="left" w:pos="567"/>
        </w:tabs>
      </w:pPr>
      <w:r w:rsidRPr="009830DC">
        <w:t>H</w:t>
      </w:r>
      <w:r w:rsidR="00C126A9" w:rsidRPr="009830DC">
        <w:t>igher value projects potentially expose Government to higher risks and therefore the applica</w:t>
      </w:r>
      <w:r w:rsidRPr="009830DC">
        <w:t xml:space="preserve">tion of </w:t>
      </w:r>
      <w:r w:rsidR="00B831AC" w:rsidRPr="009830DC">
        <w:t>services criteria</w:t>
      </w:r>
      <w:r w:rsidRPr="009830DC">
        <w:t xml:space="preserve"> is more appropriate.</w:t>
      </w:r>
    </w:p>
    <w:p w:rsidR="00C126A9" w:rsidRPr="009830DC" w:rsidRDefault="008C7202" w:rsidP="00C126A9">
      <w:pPr>
        <w:pStyle w:val="BulletedPoint"/>
        <w:numPr>
          <w:ilvl w:val="0"/>
          <w:numId w:val="3"/>
        </w:numPr>
        <w:tabs>
          <w:tab w:val="left" w:pos="567"/>
        </w:tabs>
      </w:pPr>
      <w:r w:rsidRPr="009830DC">
        <w:t>P</w:t>
      </w:r>
      <w:r w:rsidR="00C126A9" w:rsidRPr="009830DC">
        <w:t xml:space="preserve">rojects delivered by non-traditional procurement systems allocate a higher degree of responsibility to the contractor and generally require more emphasis on project specific </w:t>
      </w:r>
      <w:r w:rsidR="00B831AC" w:rsidRPr="009830DC">
        <w:t>services criteria</w:t>
      </w:r>
      <w:r w:rsidR="00C126A9" w:rsidRPr="009830DC">
        <w:t xml:space="preserve"> than tradition</w:t>
      </w:r>
      <w:r w:rsidRPr="009830DC">
        <w:t>al lump sum projects.</w:t>
      </w:r>
    </w:p>
    <w:p w:rsidR="00C126A9" w:rsidRPr="009830DC" w:rsidRDefault="008C7202" w:rsidP="00C126A9">
      <w:pPr>
        <w:pStyle w:val="BulletedPoint"/>
        <w:numPr>
          <w:ilvl w:val="0"/>
          <w:numId w:val="3"/>
        </w:numPr>
        <w:tabs>
          <w:tab w:val="left" w:pos="567"/>
        </w:tabs>
      </w:pPr>
      <w:r w:rsidRPr="009830DC">
        <w:t>F</w:t>
      </w:r>
      <w:r w:rsidR="00C126A9" w:rsidRPr="009830DC">
        <w:t>or traditional procurement projects less than $4M in value</w:t>
      </w:r>
      <w:r w:rsidRPr="009830DC">
        <w:t>,</w:t>
      </w:r>
      <w:r w:rsidR="00C126A9" w:rsidRPr="009830DC">
        <w:t xml:space="preserve"> the preferred criteria is Price.  However</w:t>
      </w:r>
      <w:r w:rsidRPr="009830DC">
        <w:t>,</w:t>
      </w:r>
      <w:r w:rsidR="00C126A9" w:rsidRPr="009830DC">
        <w:t xml:space="preserve"> there may be valid reasons for wishing to apply </w:t>
      </w:r>
      <w:r w:rsidR="00B831AC" w:rsidRPr="009830DC">
        <w:t>services criteria</w:t>
      </w:r>
      <w:r w:rsidR="00C126A9" w:rsidRPr="009830DC">
        <w:t xml:space="preserve">. </w:t>
      </w:r>
      <w:r w:rsidRPr="009830DC">
        <w:t xml:space="preserve"> </w:t>
      </w:r>
      <w:r w:rsidR="00C126A9" w:rsidRPr="009830DC">
        <w:t xml:space="preserve">Recommendation for approval to include </w:t>
      </w:r>
      <w:r w:rsidR="00B831AC" w:rsidRPr="009830DC">
        <w:t>services criteria</w:t>
      </w:r>
      <w:r w:rsidR="00C126A9" w:rsidRPr="009830DC">
        <w:t xml:space="preserve"> should be made to the appropriate D</w:t>
      </w:r>
      <w:r w:rsidR="00FF370C">
        <w:t>epartmental</w:t>
      </w:r>
      <w:r w:rsidR="00C126A9" w:rsidRPr="009830DC">
        <w:t xml:space="preserve"> delegate.</w:t>
      </w:r>
    </w:p>
    <w:p w:rsidR="00C126A9" w:rsidRPr="009830DC" w:rsidRDefault="008C7202" w:rsidP="00C126A9">
      <w:pPr>
        <w:pStyle w:val="Heading1"/>
      </w:pPr>
      <w:r w:rsidRPr="009830DC">
        <w:t>Selecting E</w:t>
      </w:r>
      <w:r w:rsidR="00C126A9" w:rsidRPr="009830DC">
        <w:t xml:space="preserve">valuation </w:t>
      </w:r>
      <w:r w:rsidRPr="009830DC">
        <w:t>C</w:t>
      </w:r>
      <w:r w:rsidR="00C126A9" w:rsidRPr="009830DC">
        <w:t>riteria</w:t>
      </w:r>
    </w:p>
    <w:p w:rsidR="00C126A9" w:rsidRPr="009830DC" w:rsidRDefault="00C126A9" w:rsidP="00C126A9">
      <w:pPr>
        <w:pStyle w:val="Heading2"/>
      </w:pPr>
      <w:bookmarkStart w:id="6" w:name="_Toc528496937"/>
      <w:r w:rsidRPr="009830DC">
        <w:t>Determine Criteria</w:t>
      </w:r>
      <w:bookmarkEnd w:id="6"/>
    </w:p>
    <w:p w:rsidR="00C126A9" w:rsidRPr="009830DC" w:rsidRDefault="00C126A9" w:rsidP="00C126A9">
      <w:pPr>
        <w:pStyle w:val="DocumentContent"/>
      </w:pPr>
      <w:r w:rsidRPr="009830DC">
        <w:t>Evaluation criteria are used to determine which tender represents best value for money.  Three basic criteria are considered</w:t>
      </w:r>
      <w:r w:rsidR="008C7202" w:rsidRPr="009830DC">
        <w:t>.</w:t>
      </w:r>
    </w:p>
    <w:p w:rsidR="00C126A9" w:rsidRPr="009830DC" w:rsidRDefault="00C126A9" w:rsidP="00C126A9">
      <w:pPr>
        <w:pStyle w:val="BulletedPoint"/>
        <w:numPr>
          <w:ilvl w:val="0"/>
          <w:numId w:val="3"/>
        </w:numPr>
        <w:tabs>
          <w:tab w:val="left" w:pos="567"/>
        </w:tabs>
      </w:pPr>
      <w:r w:rsidRPr="009830DC">
        <w:t>Price</w:t>
      </w:r>
    </w:p>
    <w:p w:rsidR="00C126A9" w:rsidRPr="009830DC" w:rsidRDefault="00B831AC" w:rsidP="00C126A9">
      <w:pPr>
        <w:pStyle w:val="BulletedPoint"/>
        <w:numPr>
          <w:ilvl w:val="0"/>
          <w:numId w:val="3"/>
        </w:numPr>
        <w:tabs>
          <w:tab w:val="left" w:pos="567"/>
        </w:tabs>
      </w:pPr>
      <w:r w:rsidRPr="009830DC">
        <w:t>Services</w:t>
      </w:r>
      <w:r w:rsidR="00C126A9" w:rsidRPr="009830DC">
        <w:t xml:space="preserve"> (project specific objectives)</w:t>
      </w:r>
    </w:p>
    <w:p w:rsidR="00C126A9" w:rsidRPr="009830DC" w:rsidRDefault="00590EBE" w:rsidP="00C126A9">
      <w:pPr>
        <w:pStyle w:val="BulletedPoint"/>
        <w:numPr>
          <w:ilvl w:val="0"/>
          <w:numId w:val="3"/>
        </w:numPr>
        <w:tabs>
          <w:tab w:val="left" w:pos="567"/>
        </w:tabs>
      </w:pPr>
      <w:r w:rsidRPr="009830DC">
        <w:t xml:space="preserve">Industry Participation Plan </w:t>
      </w:r>
    </w:p>
    <w:p w:rsidR="00C126A9" w:rsidRPr="009830DC" w:rsidRDefault="00C126A9" w:rsidP="00C126A9">
      <w:pPr>
        <w:pStyle w:val="DocumentContent"/>
      </w:pPr>
      <w:r w:rsidRPr="009830DC">
        <w:t xml:space="preserve">The </w:t>
      </w:r>
      <w:r w:rsidR="00A76DAB" w:rsidRPr="009830DC">
        <w:t>p</w:t>
      </w:r>
      <w:r w:rsidRPr="009830DC">
        <w:t xml:space="preserve">rice and </w:t>
      </w:r>
      <w:r w:rsidR="00215212" w:rsidRPr="009830DC">
        <w:t>services</w:t>
      </w:r>
      <w:r w:rsidRPr="009830DC">
        <w:t xml:space="preserve"> criteria can be further broken down into more specific sub-criteria that are sub-weighted.</w:t>
      </w:r>
    </w:p>
    <w:p w:rsidR="00C126A9" w:rsidRPr="009830DC" w:rsidRDefault="00FF370C" w:rsidP="00C126A9">
      <w:pPr>
        <w:pStyle w:val="DocumentContent"/>
      </w:pPr>
      <w:r>
        <w:t>The Department’s</w:t>
      </w:r>
      <w:r w:rsidR="00C126A9" w:rsidRPr="009830DC">
        <w:t xml:space="preserve"> sub-criteria for </w:t>
      </w:r>
      <w:r w:rsidR="00A76DAB" w:rsidRPr="009830DC">
        <w:t>p</w:t>
      </w:r>
      <w:r w:rsidR="00C126A9" w:rsidRPr="009830DC">
        <w:t>rice are:</w:t>
      </w:r>
    </w:p>
    <w:p w:rsidR="00C126A9" w:rsidRPr="009830DC" w:rsidRDefault="006F009D" w:rsidP="00C126A9">
      <w:pPr>
        <w:pStyle w:val="BulletedPoint"/>
        <w:numPr>
          <w:ilvl w:val="0"/>
          <w:numId w:val="3"/>
        </w:numPr>
        <w:tabs>
          <w:tab w:val="left" w:pos="567"/>
        </w:tabs>
      </w:pPr>
      <w:r w:rsidRPr="009830DC">
        <w:t>t</w:t>
      </w:r>
      <w:r w:rsidR="00C126A9" w:rsidRPr="009830DC">
        <w:t>ender</w:t>
      </w:r>
      <w:r w:rsidRPr="009830DC">
        <w:t xml:space="preserve"> sum (scored lowest to highest)</w:t>
      </w:r>
    </w:p>
    <w:p w:rsidR="00C126A9" w:rsidRPr="009830DC" w:rsidRDefault="006F009D" w:rsidP="00C126A9">
      <w:pPr>
        <w:pStyle w:val="BulletedPoint"/>
        <w:numPr>
          <w:ilvl w:val="0"/>
          <w:numId w:val="3"/>
        </w:numPr>
        <w:tabs>
          <w:tab w:val="left" w:pos="567"/>
        </w:tabs>
      </w:pPr>
      <w:r w:rsidRPr="009830DC">
        <w:t>p</w:t>
      </w:r>
      <w:r w:rsidR="00C126A9" w:rsidRPr="009830DC">
        <w:t>rice risk (scored relative to Price Benchmark).</w:t>
      </w:r>
    </w:p>
    <w:p w:rsidR="00C126A9" w:rsidRPr="009830DC" w:rsidRDefault="006F009D" w:rsidP="00C126A9">
      <w:pPr>
        <w:pStyle w:val="Heading2"/>
      </w:pPr>
      <w:r w:rsidRPr="009830DC">
        <w:lastRenderedPageBreak/>
        <w:t>Examples of S</w:t>
      </w:r>
      <w:r w:rsidR="00C126A9" w:rsidRPr="009830DC">
        <w:t xml:space="preserve">ub-criteria for </w:t>
      </w:r>
      <w:r w:rsidR="00215212" w:rsidRPr="009830DC">
        <w:t>Services</w:t>
      </w:r>
    </w:p>
    <w:p w:rsidR="00C126A9" w:rsidRPr="009830DC" w:rsidRDefault="00C126A9" w:rsidP="006F009D">
      <w:pPr>
        <w:pStyle w:val="BulletedPoint"/>
        <w:numPr>
          <w:ilvl w:val="0"/>
          <w:numId w:val="0"/>
        </w:numPr>
        <w:ind w:left="567" w:hanging="567"/>
      </w:pPr>
      <w:r w:rsidRPr="009830DC">
        <w:t>Experience in and methodology for:</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75"/>
        <w:gridCol w:w="4675"/>
      </w:tblGrid>
      <w:tr w:rsidR="00C126A9" w:rsidRPr="009830DC" w:rsidTr="00F03B35">
        <w:tc>
          <w:tcPr>
            <w:tcW w:w="4675" w:type="dxa"/>
          </w:tcPr>
          <w:p w:rsidR="00C126A9" w:rsidRPr="009830DC" w:rsidRDefault="00BF686D" w:rsidP="006F009D">
            <w:pPr>
              <w:pStyle w:val="TableContent"/>
            </w:pPr>
            <w:r w:rsidRPr="009830DC">
              <w:t>Buildability/maintainability</w:t>
            </w:r>
          </w:p>
        </w:tc>
        <w:tc>
          <w:tcPr>
            <w:tcW w:w="4675" w:type="dxa"/>
          </w:tcPr>
          <w:p w:rsidR="00C126A9" w:rsidRPr="009830DC" w:rsidRDefault="00A76DAB" w:rsidP="006F009D">
            <w:pPr>
              <w:pStyle w:val="TableContent"/>
            </w:pPr>
            <w:r w:rsidRPr="009830DC">
              <w:t>Occupation management</w:t>
            </w:r>
          </w:p>
        </w:tc>
      </w:tr>
      <w:tr w:rsidR="00C126A9" w:rsidRPr="009830DC" w:rsidTr="00F03B35">
        <w:tc>
          <w:tcPr>
            <w:tcW w:w="4675" w:type="dxa"/>
          </w:tcPr>
          <w:p w:rsidR="00C126A9" w:rsidRPr="009830DC" w:rsidRDefault="00BF686D" w:rsidP="006F009D">
            <w:pPr>
              <w:pStyle w:val="TableContent"/>
            </w:pPr>
            <w:r w:rsidRPr="009830DC">
              <w:t>Communication</w:t>
            </w:r>
          </w:p>
        </w:tc>
        <w:tc>
          <w:tcPr>
            <w:tcW w:w="4675" w:type="dxa"/>
          </w:tcPr>
          <w:p w:rsidR="00C126A9" w:rsidRPr="009830DC" w:rsidRDefault="00A76DAB" w:rsidP="006F009D">
            <w:pPr>
              <w:pStyle w:val="TableContent"/>
            </w:pPr>
            <w:r w:rsidRPr="009830DC">
              <w:t>Process for decanting</w:t>
            </w:r>
          </w:p>
        </w:tc>
      </w:tr>
      <w:tr w:rsidR="00BF686D" w:rsidRPr="009830DC" w:rsidTr="00F03B35">
        <w:tc>
          <w:tcPr>
            <w:tcW w:w="4675" w:type="dxa"/>
          </w:tcPr>
          <w:p w:rsidR="00BF686D" w:rsidRPr="009830DC" w:rsidRDefault="00BF686D" w:rsidP="006F009D">
            <w:pPr>
              <w:pStyle w:val="TableContent"/>
            </w:pPr>
            <w:r w:rsidRPr="009830DC">
              <w:t>Community consultation</w:t>
            </w:r>
          </w:p>
        </w:tc>
        <w:tc>
          <w:tcPr>
            <w:tcW w:w="4675" w:type="dxa"/>
          </w:tcPr>
          <w:p w:rsidR="00BF686D" w:rsidRPr="009830DC" w:rsidRDefault="00A76DAB" w:rsidP="006F009D">
            <w:pPr>
              <w:pStyle w:val="TableContent"/>
            </w:pPr>
            <w:r w:rsidRPr="009830DC">
              <w:t>Professional service contractor management</w:t>
            </w:r>
          </w:p>
        </w:tc>
      </w:tr>
      <w:tr w:rsidR="00BF686D" w:rsidRPr="009830DC" w:rsidTr="00F03B35">
        <w:tc>
          <w:tcPr>
            <w:tcW w:w="4675" w:type="dxa"/>
          </w:tcPr>
          <w:p w:rsidR="00BF686D" w:rsidRPr="009830DC" w:rsidRDefault="00BF686D" w:rsidP="006F009D">
            <w:pPr>
              <w:pStyle w:val="TableContent"/>
            </w:pPr>
            <w:r w:rsidRPr="009830DC">
              <w:t>Construction management</w:t>
            </w:r>
          </w:p>
        </w:tc>
        <w:tc>
          <w:tcPr>
            <w:tcW w:w="4675" w:type="dxa"/>
          </w:tcPr>
          <w:p w:rsidR="00BF686D" w:rsidRPr="009830DC" w:rsidRDefault="00A76DAB" w:rsidP="006F009D">
            <w:pPr>
              <w:pStyle w:val="TableContent"/>
            </w:pPr>
            <w:r w:rsidRPr="009830DC">
              <w:t>Programming</w:t>
            </w:r>
          </w:p>
        </w:tc>
      </w:tr>
      <w:tr w:rsidR="00BF686D" w:rsidRPr="009830DC" w:rsidTr="00F03B35">
        <w:tc>
          <w:tcPr>
            <w:tcW w:w="4675" w:type="dxa"/>
          </w:tcPr>
          <w:p w:rsidR="00BF686D" w:rsidRPr="009830DC" w:rsidRDefault="00BF686D" w:rsidP="006F009D">
            <w:pPr>
              <w:pStyle w:val="TableContent"/>
            </w:pPr>
            <w:r w:rsidRPr="009830DC">
              <w:t>Cost management</w:t>
            </w:r>
          </w:p>
        </w:tc>
        <w:tc>
          <w:tcPr>
            <w:tcW w:w="4675" w:type="dxa"/>
          </w:tcPr>
          <w:p w:rsidR="00BF686D" w:rsidRPr="009830DC" w:rsidRDefault="00A76DAB" w:rsidP="006F009D">
            <w:pPr>
              <w:pStyle w:val="TableContent"/>
            </w:pPr>
            <w:r w:rsidRPr="009830DC">
              <w:t>Quality management</w:t>
            </w:r>
          </w:p>
        </w:tc>
      </w:tr>
      <w:tr w:rsidR="00A76DAB" w:rsidRPr="009830DC" w:rsidTr="00F03B35">
        <w:tc>
          <w:tcPr>
            <w:tcW w:w="4675" w:type="dxa"/>
          </w:tcPr>
          <w:p w:rsidR="00A76DAB" w:rsidRPr="009830DC" w:rsidRDefault="00A76DAB" w:rsidP="006F009D">
            <w:pPr>
              <w:pStyle w:val="TableContent"/>
            </w:pPr>
            <w:r w:rsidRPr="009830DC">
              <w:t>Design management</w:t>
            </w:r>
          </w:p>
        </w:tc>
        <w:tc>
          <w:tcPr>
            <w:tcW w:w="4675" w:type="dxa"/>
          </w:tcPr>
          <w:p w:rsidR="00A76DAB" w:rsidRPr="009830DC" w:rsidRDefault="00A76DAB" w:rsidP="00A76DAB">
            <w:pPr>
              <w:pStyle w:val="TableContent"/>
            </w:pPr>
            <w:r w:rsidRPr="009830DC">
              <w:t>Safety</w:t>
            </w:r>
          </w:p>
        </w:tc>
      </w:tr>
      <w:tr w:rsidR="00A76DAB" w:rsidRPr="009830DC" w:rsidTr="00F03B35">
        <w:tc>
          <w:tcPr>
            <w:tcW w:w="4675" w:type="dxa"/>
          </w:tcPr>
          <w:p w:rsidR="00A76DAB" w:rsidRPr="009830DC" w:rsidRDefault="00A76DAB" w:rsidP="006F009D">
            <w:pPr>
              <w:pStyle w:val="TableContent"/>
            </w:pPr>
            <w:r w:rsidRPr="009830DC">
              <w:t>Documentation management</w:t>
            </w:r>
          </w:p>
        </w:tc>
        <w:tc>
          <w:tcPr>
            <w:tcW w:w="4675" w:type="dxa"/>
          </w:tcPr>
          <w:p w:rsidR="00A76DAB" w:rsidRPr="009830DC" w:rsidRDefault="00A76DAB" w:rsidP="00A76DAB">
            <w:pPr>
              <w:pStyle w:val="TableContent"/>
            </w:pPr>
            <w:r w:rsidRPr="009830DC">
              <w:t>Site management</w:t>
            </w:r>
          </w:p>
        </w:tc>
      </w:tr>
      <w:tr w:rsidR="00A76DAB" w:rsidRPr="009830DC" w:rsidTr="00F03B35">
        <w:tc>
          <w:tcPr>
            <w:tcW w:w="4675" w:type="dxa"/>
          </w:tcPr>
          <w:p w:rsidR="00A76DAB" w:rsidRPr="009830DC" w:rsidRDefault="00A76DAB" w:rsidP="006F009D">
            <w:pPr>
              <w:pStyle w:val="TableContent"/>
            </w:pPr>
            <w:r w:rsidRPr="009830DC">
              <w:t>Ecological sustainability</w:t>
            </w:r>
          </w:p>
        </w:tc>
        <w:tc>
          <w:tcPr>
            <w:tcW w:w="4675" w:type="dxa"/>
          </w:tcPr>
          <w:p w:rsidR="00A76DAB" w:rsidRPr="009830DC" w:rsidRDefault="00A76DAB" w:rsidP="00A76DAB">
            <w:pPr>
              <w:pStyle w:val="TableContent"/>
            </w:pPr>
            <w:r w:rsidRPr="009830DC">
              <w:t>Site specific considerations</w:t>
            </w:r>
          </w:p>
        </w:tc>
      </w:tr>
      <w:tr w:rsidR="00A76DAB" w:rsidRPr="009830DC" w:rsidTr="00F03B35">
        <w:tc>
          <w:tcPr>
            <w:tcW w:w="4675" w:type="dxa"/>
          </w:tcPr>
          <w:p w:rsidR="00A76DAB" w:rsidRPr="009830DC" w:rsidRDefault="00A76DAB" w:rsidP="006F009D">
            <w:pPr>
              <w:pStyle w:val="TableContent"/>
            </w:pPr>
            <w:r w:rsidRPr="009830DC">
              <w:t>Functionality</w:t>
            </w:r>
          </w:p>
        </w:tc>
        <w:tc>
          <w:tcPr>
            <w:tcW w:w="4675" w:type="dxa"/>
          </w:tcPr>
          <w:p w:rsidR="00A76DAB" w:rsidRPr="009830DC" w:rsidRDefault="00A76DAB" w:rsidP="00A76DAB">
            <w:pPr>
              <w:pStyle w:val="TableContent"/>
            </w:pPr>
            <w:r w:rsidRPr="009830DC">
              <w:t>Staging of work</w:t>
            </w:r>
          </w:p>
        </w:tc>
      </w:tr>
      <w:tr w:rsidR="00A76DAB" w:rsidRPr="009830DC" w:rsidTr="00F03B35">
        <w:tc>
          <w:tcPr>
            <w:tcW w:w="4675" w:type="dxa"/>
          </w:tcPr>
          <w:p w:rsidR="00A76DAB" w:rsidRPr="009830DC" w:rsidRDefault="00A76DAB" w:rsidP="006F009D">
            <w:pPr>
              <w:pStyle w:val="TableContent"/>
            </w:pPr>
            <w:r w:rsidRPr="009830DC">
              <w:t>Incorporation of best practice</w:t>
            </w:r>
          </w:p>
        </w:tc>
        <w:tc>
          <w:tcPr>
            <w:tcW w:w="4675" w:type="dxa"/>
          </w:tcPr>
          <w:p w:rsidR="00A76DAB" w:rsidRPr="009830DC" w:rsidRDefault="00A76DAB" w:rsidP="00A76DAB">
            <w:pPr>
              <w:pStyle w:val="TableContent"/>
            </w:pPr>
            <w:r w:rsidRPr="009830DC">
              <w:t>Subcontractor management</w:t>
            </w:r>
          </w:p>
        </w:tc>
      </w:tr>
      <w:tr w:rsidR="00A76DAB" w:rsidRPr="009830DC" w:rsidTr="00F03B35">
        <w:tc>
          <w:tcPr>
            <w:tcW w:w="4675" w:type="dxa"/>
          </w:tcPr>
          <w:p w:rsidR="00A76DAB" w:rsidRPr="009830DC" w:rsidRDefault="00A76DAB" w:rsidP="006F009D">
            <w:pPr>
              <w:pStyle w:val="TableContent"/>
            </w:pPr>
            <w:r w:rsidRPr="009830DC">
              <w:t>Innovation</w:t>
            </w:r>
          </w:p>
        </w:tc>
        <w:tc>
          <w:tcPr>
            <w:tcW w:w="4675" w:type="dxa"/>
          </w:tcPr>
          <w:p w:rsidR="00A76DAB" w:rsidRPr="009830DC" w:rsidRDefault="00A76DAB" w:rsidP="00A76DAB">
            <w:pPr>
              <w:pStyle w:val="TableContent"/>
            </w:pPr>
            <w:r w:rsidRPr="009830DC">
              <w:t>Supporting equipment and systems procurement</w:t>
            </w:r>
          </w:p>
        </w:tc>
      </w:tr>
      <w:tr w:rsidR="00A76DAB" w:rsidRPr="009830DC" w:rsidTr="00F03B35">
        <w:tc>
          <w:tcPr>
            <w:tcW w:w="4675" w:type="dxa"/>
          </w:tcPr>
          <w:p w:rsidR="00A76DAB" w:rsidRPr="009830DC" w:rsidRDefault="00A76DAB" w:rsidP="006F009D">
            <w:pPr>
              <w:pStyle w:val="TableContent"/>
            </w:pPr>
            <w:r w:rsidRPr="009830DC">
              <w:t>Life cycle costs</w:t>
            </w:r>
          </w:p>
        </w:tc>
        <w:tc>
          <w:tcPr>
            <w:tcW w:w="4675" w:type="dxa"/>
          </w:tcPr>
          <w:p w:rsidR="00A76DAB" w:rsidRPr="009830DC" w:rsidRDefault="00A76DAB" w:rsidP="00A76DAB">
            <w:pPr>
              <w:pStyle w:val="TableContent"/>
            </w:pPr>
            <w:r w:rsidRPr="009830DC">
              <w:t>User group/client management</w:t>
            </w:r>
          </w:p>
        </w:tc>
      </w:tr>
    </w:tbl>
    <w:p w:rsidR="00C126A9" w:rsidRPr="009830DC" w:rsidRDefault="00C126A9" w:rsidP="00C126A9">
      <w:pPr>
        <w:pStyle w:val="GuidenoteNormal"/>
      </w:pPr>
    </w:p>
    <w:p w:rsidR="00C126A9" w:rsidRPr="009830DC" w:rsidRDefault="00C126A9" w:rsidP="006F009D">
      <w:pPr>
        <w:pStyle w:val="BulletedPoint"/>
        <w:numPr>
          <w:ilvl w:val="0"/>
          <w:numId w:val="0"/>
        </w:numPr>
        <w:ind w:left="567" w:hanging="567"/>
      </w:pPr>
      <w:r w:rsidRPr="009830DC">
        <w:t>Contractor project team (and professional service contractor project team where applicable)</w:t>
      </w:r>
      <w:r w:rsidR="004B0E14" w:rsidRPr="009830D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75"/>
        <w:gridCol w:w="4675"/>
      </w:tblGrid>
      <w:tr w:rsidR="00C126A9" w:rsidRPr="009830DC" w:rsidTr="00F03B35">
        <w:tc>
          <w:tcPr>
            <w:tcW w:w="4675" w:type="dxa"/>
          </w:tcPr>
          <w:p w:rsidR="00C126A9" w:rsidRPr="009830DC" w:rsidRDefault="00A76DAB" w:rsidP="006F009D">
            <w:pPr>
              <w:pStyle w:val="TableContent"/>
            </w:pPr>
            <w:r w:rsidRPr="009830DC">
              <w:t>Identification of key activities in terms of task and people</w:t>
            </w:r>
          </w:p>
        </w:tc>
        <w:tc>
          <w:tcPr>
            <w:tcW w:w="4675" w:type="dxa"/>
          </w:tcPr>
          <w:p w:rsidR="00C126A9" w:rsidRPr="009830DC" w:rsidRDefault="00A76DAB" w:rsidP="006F009D">
            <w:pPr>
              <w:pStyle w:val="TableContent"/>
            </w:pPr>
            <w:r w:rsidRPr="009830DC">
              <w:t>Past and current time related performance</w:t>
            </w:r>
          </w:p>
        </w:tc>
      </w:tr>
      <w:tr w:rsidR="00C126A9" w:rsidRPr="009830DC" w:rsidTr="00F03B35">
        <w:tc>
          <w:tcPr>
            <w:tcW w:w="4675" w:type="dxa"/>
          </w:tcPr>
          <w:p w:rsidR="00C126A9" w:rsidRPr="009830DC" w:rsidRDefault="00A76DAB" w:rsidP="006F009D">
            <w:pPr>
              <w:pStyle w:val="TableContent"/>
            </w:pPr>
            <w:r w:rsidRPr="009830DC">
              <w:t>Key managerial and supervisory personnel</w:t>
            </w:r>
          </w:p>
        </w:tc>
        <w:tc>
          <w:tcPr>
            <w:tcW w:w="4675" w:type="dxa"/>
          </w:tcPr>
          <w:p w:rsidR="00C126A9" w:rsidRPr="009830DC" w:rsidRDefault="00A76DAB" w:rsidP="006F009D">
            <w:pPr>
              <w:pStyle w:val="TableContent"/>
            </w:pPr>
            <w:r w:rsidRPr="009830DC">
              <w:t>Personnel back-up strategy</w:t>
            </w:r>
          </w:p>
        </w:tc>
      </w:tr>
      <w:tr w:rsidR="00A76DAB" w:rsidRPr="009830DC" w:rsidTr="00F03B35">
        <w:tc>
          <w:tcPr>
            <w:tcW w:w="4675" w:type="dxa"/>
          </w:tcPr>
          <w:p w:rsidR="00A76DAB" w:rsidRPr="009830DC" w:rsidRDefault="00A76DAB" w:rsidP="006F009D">
            <w:pPr>
              <w:pStyle w:val="TableContent"/>
            </w:pPr>
            <w:r w:rsidRPr="009830DC">
              <w:t>Key team members and their experience</w:t>
            </w:r>
          </w:p>
        </w:tc>
        <w:tc>
          <w:tcPr>
            <w:tcW w:w="4675" w:type="dxa"/>
          </w:tcPr>
          <w:p w:rsidR="00A76DAB" w:rsidRPr="009830DC" w:rsidRDefault="00A76DAB" w:rsidP="00A76DAB">
            <w:pPr>
              <w:pStyle w:val="TableContent"/>
            </w:pPr>
            <w:r w:rsidRPr="009830DC">
              <w:t>Project organisation chart</w:t>
            </w:r>
          </w:p>
        </w:tc>
      </w:tr>
      <w:tr w:rsidR="00A76DAB" w:rsidRPr="009830DC" w:rsidTr="00F03B35">
        <w:tc>
          <w:tcPr>
            <w:tcW w:w="4675" w:type="dxa"/>
          </w:tcPr>
          <w:p w:rsidR="00A76DAB" w:rsidRPr="009830DC" w:rsidRDefault="00A76DAB" w:rsidP="00A76DAB">
            <w:pPr>
              <w:pStyle w:val="TableContent"/>
            </w:pPr>
            <w:r w:rsidRPr="009830DC">
              <w:t>Key trade packages</w:t>
            </w:r>
          </w:p>
        </w:tc>
        <w:tc>
          <w:tcPr>
            <w:tcW w:w="4675" w:type="dxa"/>
          </w:tcPr>
          <w:p w:rsidR="00A76DAB" w:rsidRPr="009830DC" w:rsidRDefault="00A76DAB" w:rsidP="006F009D">
            <w:pPr>
              <w:pStyle w:val="TableContent"/>
            </w:pPr>
            <w:r w:rsidRPr="009830DC">
              <w:t>Referees</w:t>
            </w:r>
          </w:p>
        </w:tc>
      </w:tr>
      <w:tr w:rsidR="00A76DAB" w:rsidRPr="009830DC" w:rsidTr="00F03B35">
        <w:tc>
          <w:tcPr>
            <w:tcW w:w="4675" w:type="dxa"/>
          </w:tcPr>
          <w:p w:rsidR="00A76DAB" w:rsidRPr="009830DC" w:rsidRDefault="00A76DAB" w:rsidP="006F009D">
            <w:pPr>
              <w:pStyle w:val="TableContent"/>
            </w:pPr>
            <w:r w:rsidRPr="009830DC">
              <w:t>Managerial structures, roles, and reporting relationships</w:t>
            </w:r>
          </w:p>
        </w:tc>
        <w:tc>
          <w:tcPr>
            <w:tcW w:w="4675" w:type="dxa"/>
          </w:tcPr>
          <w:p w:rsidR="00A76DAB" w:rsidRPr="009830DC" w:rsidRDefault="00A76DAB" w:rsidP="00A76DAB">
            <w:pPr>
              <w:pStyle w:val="TableContent"/>
            </w:pPr>
            <w:r w:rsidRPr="009830DC">
              <w:t xml:space="preserve">Other </w:t>
            </w:r>
          </w:p>
        </w:tc>
      </w:tr>
    </w:tbl>
    <w:p w:rsidR="00C126A9" w:rsidRPr="009830DC" w:rsidRDefault="006F009D" w:rsidP="00C126A9">
      <w:pPr>
        <w:pStyle w:val="Heading1"/>
      </w:pPr>
      <w:bookmarkStart w:id="7" w:name="_Toc528496938"/>
      <w:r w:rsidRPr="009830DC">
        <w:t>Determine C</w:t>
      </w:r>
      <w:r w:rsidR="00C126A9" w:rsidRPr="009830DC">
        <w:t xml:space="preserve">riteria </w:t>
      </w:r>
      <w:r w:rsidRPr="009830DC">
        <w:t>W</w:t>
      </w:r>
      <w:r w:rsidR="00C126A9" w:rsidRPr="009830DC">
        <w:t>eightings</w:t>
      </w:r>
      <w:bookmarkEnd w:id="7"/>
    </w:p>
    <w:p w:rsidR="00C126A9" w:rsidRPr="009830DC" w:rsidRDefault="00C126A9" w:rsidP="00C126A9">
      <w:pPr>
        <w:pStyle w:val="DocumentContent"/>
      </w:pPr>
      <w:r w:rsidRPr="009830DC">
        <w:t>Using criteria weightings is fundamental to the tender evaluation process in value selection.  Weightings illustrate the relative importance of criteria and promote a good match between the contractor and the building project.</w:t>
      </w:r>
    </w:p>
    <w:p w:rsidR="00C126A9" w:rsidRDefault="00C126A9" w:rsidP="00C126A9">
      <w:pPr>
        <w:pStyle w:val="DocumentContent"/>
      </w:pPr>
      <w:r w:rsidRPr="009830DC">
        <w:t xml:space="preserve">The criteria and an indication of the relative weighting of </w:t>
      </w:r>
      <w:r w:rsidR="006F009D" w:rsidRPr="009830DC">
        <w:t>p</w:t>
      </w:r>
      <w:r w:rsidRPr="009830DC">
        <w:t xml:space="preserve">rice, </w:t>
      </w:r>
      <w:r w:rsidR="00B831AC" w:rsidRPr="009830DC">
        <w:t>services</w:t>
      </w:r>
      <w:r w:rsidRPr="009830DC">
        <w:t xml:space="preserve"> and </w:t>
      </w:r>
      <w:r w:rsidR="00B831AC" w:rsidRPr="009830DC">
        <w:t>capability</w:t>
      </w:r>
      <w:r w:rsidRPr="009830DC">
        <w:t xml:space="preserve"> are published in the registration of interest and/or tender documents to provide tenderers an understanding of the relative importance of the criteria.</w:t>
      </w:r>
    </w:p>
    <w:p w:rsidR="00A27054" w:rsidRDefault="00A27054" w:rsidP="00C126A9">
      <w:pPr>
        <w:pStyle w:val="DocumentContent"/>
      </w:pPr>
      <w:r>
        <w:t>For recommended weightings, refer to the Tender Weighting Guidelines, available from:</w:t>
      </w:r>
    </w:p>
    <w:p w:rsidR="00A27054" w:rsidRDefault="001D3C7C" w:rsidP="00C126A9">
      <w:pPr>
        <w:pStyle w:val="DocumentContent"/>
      </w:pPr>
      <w:hyperlink r:id="rId8" w:history="1">
        <w:r w:rsidR="00A27054" w:rsidRPr="0080475A">
          <w:rPr>
            <w:rStyle w:val="Hyperlink"/>
          </w:rPr>
          <w:t>http://www.dpti.sa.gov.au/contractor_documents/tender_evaluation_guidelines</w:t>
        </w:r>
      </w:hyperlink>
    </w:p>
    <w:p w:rsidR="00C126A9" w:rsidRPr="009830DC" w:rsidRDefault="00C126A9" w:rsidP="00C126A9">
      <w:pPr>
        <w:pStyle w:val="Heading2"/>
      </w:pPr>
      <w:r w:rsidRPr="009830DC">
        <w:t>Criterion 1 – Price</w:t>
      </w:r>
    </w:p>
    <w:p w:rsidR="00C126A9" w:rsidRPr="009830DC" w:rsidRDefault="00C126A9" w:rsidP="00C126A9">
      <w:pPr>
        <w:pStyle w:val="DocumentContent"/>
      </w:pPr>
      <w:r w:rsidRPr="009830DC">
        <w:t xml:space="preserve">Where a traditional procurement method is used, weighting of at least </w:t>
      </w:r>
      <w:r w:rsidR="00AE2398" w:rsidRPr="009830DC">
        <w:t>7</w:t>
      </w:r>
      <w:r w:rsidR="00590EBE" w:rsidRPr="009830DC">
        <w:t>0</w:t>
      </w:r>
      <w:r w:rsidRPr="009830DC">
        <w:t xml:space="preserve">% is set for the </w:t>
      </w:r>
      <w:r w:rsidR="006F009D" w:rsidRPr="009830DC">
        <w:t>p</w:t>
      </w:r>
      <w:r w:rsidRPr="009830DC">
        <w:t>rice criterion based on the tender sum.</w:t>
      </w:r>
    </w:p>
    <w:p w:rsidR="00C126A9" w:rsidRPr="009830DC" w:rsidRDefault="00C126A9" w:rsidP="00C126A9">
      <w:pPr>
        <w:pStyle w:val="DocumentContent"/>
      </w:pPr>
      <w:r w:rsidRPr="009830DC">
        <w:t xml:space="preserve">Where a non-traditional procurement method is used, weighting of at least </w:t>
      </w:r>
      <w:r w:rsidR="00AE2398" w:rsidRPr="009830DC">
        <w:t>5</w:t>
      </w:r>
      <w:r w:rsidR="00590EBE" w:rsidRPr="009830DC">
        <w:t>0</w:t>
      </w:r>
      <w:r w:rsidRPr="009830DC">
        <w:t>% is set.  Where fees only are tendered</w:t>
      </w:r>
      <w:r w:rsidR="006F009D" w:rsidRPr="009830DC">
        <w:t>,</w:t>
      </w:r>
      <w:r w:rsidR="00023C19" w:rsidRPr="009830DC">
        <w:t xml:space="preserve"> weighting of at least 2</w:t>
      </w:r>
      <w:r w:rsidRPr="009830DC">
        <w:t>0% is set for the price criteria.</w:t>
      </w:r>
    </w:p>
    <w:p w:rsidR="00C126A9" w:rsidRPr="009830DC" w:rsidRDefault="00C126A9" w:rsidP="00C126A9">
      <w:pPr>
        <w:pStyle w:val="DocumentContent"/>
      </w:pPr>
      <w:r w:rsidRPr="009830DC">
        <w:lastRenderedPageBreak/>
        <w:t>The weighting for price should generally be lower for tenders on projects requiring both innovative input and methodology.  Lower weighting for price results in a high tender sum having a relatively lower impact on the evaluation outcome.</w:t>
      </w:r>
    </w:p>
    <w:p w:rsidR="00C126A9" w:rsidRPr="009830DC" w:rsidRDefault="00C126A9" w:rsidP="00C126A9">
      <w:pPr>
        <w:pStyle w:val="Heading2"/>
      </w:pPr>
      <w:r w:rsidRPr="009830DC">
        <w:t xml:space="preserve">Criterion 2 – </w:t>
      </w:r>
      <w:r w:rsidR="00215212" w:rsidRPr="009830DC">
        <w:t>Services</w:t>
      </w:r>
      <w:r w:rsidRPr="009830DC">
        <w:t xml:space="preserve"> (Project Specific Objectives)</w:t>
      </w:r>
    </w:p>
    <w:p w:rsidR="00C126A9" w:rsidRPr="009830DC" w:rsidRDefault="00C126A9" w:rsidP="00C126A9">
      <w:pPr>
        <w:pStyle w:val="DocumentContent"/>
      </w:pPr>
      <w:r w:rsidRPr="009830DC">
        <w:t xml:space="preserve">Appropriate weighting for </w:t>
      </w:r>
      <w:r w:rsidR="00215212" w:rsidRPr="009830DC">
        <w:t>services</w:t>
      </w:r>
      <w:r w:rsidRPr="009830DC">
        <w:t xml:space="preserve"> and the project specific sub-criteria that make it up should be determined by considering the factors critical to the success of the project.  Risks and opportunities associated with different types of projects may necessitate using contractors with specific skills and experience.</w:t>
      </w:r>
    </w:p>
    <w:p w:rsidR="00C126A9" w:rsidRPr="009830DC" w:rsidRDefault="00C126A9" w:rsidP="00C126A9">
      <w:pPr>
        <w:pStyle w:val="DocumentContent"/>
      </w:pPr>
      <w:r w:rsidRPr="009830DC">
        <w:t xml:space="preserve">For traditional procurement projects, project specific </w:t>
      </w:r>
      <w:r w:rsidR="00B831AC" w:rsidRPr="009830DC">
        <w:t>services critera</w:t>
      </w:r>
      <w:r w:rsidRPr="009830DC">
        <w:t xml:space="preserve"> are used to address high risk or opportunity areas.  Generally the maximum weighting for each </w:t>
      </w:r>
      <w:r w:rsidR="00B831AC" w:rsidRPr="009830DC">
        <w:t xml:space="preserve">services </w:t>
      </w:r>
      <w:r w:rsidRPr="009830DC">
        <w:t xml:space="preserve">sub-criterion is </w:t>
      </w:r>
      <w:r w:rsidR="00AE2398" w:rsidRPr="009830DC">
        <w:t>1</w:t>
      </w:r>
      <w:r w:rsidRPr="009830DC">
        <w:t>5%.</w:t>
      </w:r>
    </w:p>
    <w:p w:rsidR="00C126A9" w:rsidRPr="009830DC" w:rsidRDefault="00C126A9" w:rsidP="00C126A9">
      <w:pPr>
        <w:pStyle w:val="DocumentContent"/>
      </w:pPr>
      <w:r w:rsidRPr="009830DC">
        <w:t xml:space="preserve">For non-traditional procurement or fee only projects, the weighting for project specific </w:t>
      </w:r>
      <w:r w:rsidR="00B831AC" w:rsidRPr="009830DC">
        <w:t>services criteria</w:t>
      </w:r>
      <w:r w:rsidRPr="009830DC">
        <w:t xml:space="preserve"> is usually much higher than for traditional procurement to reflect the importance of the increased role for the successful contractor.  Generally there are more </w:t>
      </w:r>
      <w:r w:rsidR="00B831AC" w:rsidRPr="009830DC">
        <w:t>services</w:t>
      </w:r>
      <w:r w:rsidRPr="009830DC">
        <w:t xml:space="preserve"> sub-criteria with the weighting for each sub-criterion up to 10%.</w:t>
      </w:r>
    </w:p>
    <w:p w:rsidR="00C126A9" w:rsidRPr="009830DC" w:rsidRDefault="00C126A9" w:rsidP="00C126A9">
      <w:pPr>
        <w:pStyle w:val="Heading2"/>
      </w:pPr>
      <w:r w:rsidRPr="009830DC">
        <w:t xml:space="preserve">Criterion 3 – </w:t>
      </w:r>
      <w:r w:rsidR="00590EBE" w:rsidRPr="009830DC">
        <w:t>Industry Participation Plan</w:t>
      </w:r>
    </w:p>
    <w:p w:rsidR="00C126A9" w:rsidRPr="009830DC" w:rsidRDefault="00590EBE" w:rsidP="00FB5C17">
      <w:pPr>
        <w:spacing w:before="120"/>
        <w:rPr>
          <w:b w:val="0"/>
        </w:rPr>
      </w:pPr>
      <w:r w:rsidRPr="009830DC">
        <w:rPr>
          <w:b w:val="0"/>
        </w:rPr>
        <w:t>This has a minimum 15% weighting</w:t>
      </w:r>
      <w:r w:rsidR="00FB5C17" w:rsidRPr="009830DC">
        <w:rPr>
          <w:b w:val="0"/>
        </w:rPr>
        <w:t xml:space="preserve">, which may be increased to 20% in some circumstances (eg </w:t>
      </w:r>
      <w:r w:rsidR="00FB5C17" w:rsidRPr="009830DC">
        <w:rPr>
          <w:rFonts w:cs="Arial"/>
          <w:b w:val="0"/>
        </w:rPr>
        <w:t xml:space="preserve">Northern Adelaide Infrastructure) </w:t>
      </w:r>
      <w:r w:rsidR="00FB5C17" w:rsidRPr="009830DC">
        <w:rPr>
          <w:b w:val="0"/>
        </w:rPr>
        <w:t xml:space="preserve"> in accordance with the SA Government Industry Participation Ploicy (refer: </w:t>
      </w:r>
      <w:r w:rsidR="00FB5C17" w:rsidRPr="001D3C7C">
        <w:rPr>
          <w:rStyle w:val="Hyperlink"/>
          <w:rFonts w:cs="Arial"/>
          <w:b w:val="0"/>
        </w:rPr>
        <w:t>http://www.industryadvocate.sa.gov.au/industry-participation-policy</w:t>
      </w:r>
      <w:r w:rsidR="00FB5C17" w:rsidRPr="009830DC">
        <w:rPr>
          <w:b w:val="0"/>
        </w:rPr>
        <w:t>)</w:t>
      </w:r>
      <w:r w:rsidR="00C126A9" w:rsidRPr="009830DC">
        <w:rPr>
          <w:b w:val="0"/>
        </w:rPr>
        <w:t>.</w:t>
      </w:r>
      <w:bookmarkStart w:id="8" w:name="_GoBack"/>
      <w:bookmarkEnd w:id="8"/>
    </w:p>
    <w:p w:rsidR="00C126A9" w:rsidRPr="009830DC" w:rsidRDefault="00C126A9" w:rsidP="00C126A9">
      <w:pPr>
        <w:pStyle w:val="Heading1"/>
      </w:pPr>
      <w:bookmarkStart w:id="9" w:name="_Toc528496939"/>
      <w:r w:rsidRPr="009830DC">
        <w:t xml:space="preserve">Preparation of </w:t>
      </w:r>
      <w:r w:rsidR="00BF686D" w:rsidRPr="009830DC">
        <w:t>T</w:t>
      </w:r>
      <w:r w:rsidRPr="009830DC">
        <w:t xml:space="preserve">ender </w:t>
      </w:r>
      <w:r w:rsidR="00BF686D" w:rsidRPr="009830DC">
        <w:t>D</w:t>
      </w:r>
      <w:r w:rsidRPr="009830DC">
        <w:t>ocuments</w:t>
      </w:r>
      <w:bookmarkEnd w:id="9"/>
    </w:p>
    <w:p w:rsidR="00C126A9" w:rsidRPr="009830DC" w:rsidRDefault="00C126A9" w:rsidP="00C126A9">
      <w:pPr>
        <w:pStyle w:val="DocumentContent"/>
      </w:pPr>
      <w:r w:rsidRPr="009830DC">
        <w:t>It is essential that sufficient explanation be provided to tenderers in regard to the evaluation criteria to be used in the tender evaluation.</w:t>
      </w:r>
    </w:p>
    <w:p w:rsidR="00C126A9" w:rsidRPr="009830DC" w:rsidRDefault="00C126A9" w:rsidP="00C126A9">
      <w:pPr>
        <w:pStyle w:val="DocumentContent"/>
      </w:pPr>
      <w:r w:rsidRPr="009830DC">
        <w:t>All evaluation criteria and sub-criteria to be used in the tender evaluation must be stated in the tender documents. To enable the evaluation of each criterion, the tenderers will be required to submit certain information that must be clearly requested through the tender documents.</w:t>
      </w:r>
    </w:p>
    <w:p w:rsidR="00C126A9" w:rsidRPr="009830DC" w:rsidRDefault="00C126A9" w:rsidP="00C126A9">
      <w:pPr>
        <w:pStyle w:val="DocumentContent"/>
      </w:pPr>
      <w:r w:rsidRPr="009830DC">
        <w:t>Emphasis should be given to requesting quantitative information that can be objectively assessed.  Requests for general or qualitative information can lead to ambiguous responses that are difficult to assess and monitor and therefore should be avoided.</w:t>
      </w:r>
    </w:p>
    <w:p w:rsidR="00C126A9" w:rsidRPr="009830DC" w:rsidRDefault="00C126A9" w:rsidP="00C126A9">
      <w:pPr>
        <w:pStyle w:val="DocumentContent"/>
      </w:pPr>
      <w:r w:rsidRPr="009830DC">
        <w:t xml:space="preserve">In response to the </w:t>
      </w:r>
      <w:r w:rsidR="00215212" w:rsidRPr="009830DC">
        <w:t>services</w:t>
      </w:r>
      <w:r w:rsidRPr="009830DC">
        <w:t xml:space="preserve"> criteria, tenderers will commit to certain undertakings and a robust compliance mechanism is required to ensure that these undertakings are delivered.  For example, if a tenderer states that 80% of a key resource’s time will be committed to the project then a reporting mechanism is required to substantiate that this 80% is achieved.  The method for measuring and reporting compliance may be stipulated in the contract.</w:t>
      </w:r>
    </w:p>
    <w:p w:rsidR="00C126A9" w:rsidRPr="009830DC" w:rsidRDefault="00C126A9" w:rsidP="00C126A9">
      <w:pPr>
        <w:pStyle w:val="DocumentContent"/>
      </w:pPr>
      <w:r w:rsidRPr="009830DC">
        <w:t xml:space="preserve">An indication of the relative weightings of </w:t>
      </w:r>
      <w:r w:rsidR="00A76DAB" w:rsidRPr="009830DC">
        <w:t>p</w:t>
      </w:r>
      <w:r w:rsidRPr="009830DC">
        <w:t xml:space="preserve">rice, </w:t>
      </w:r>
      <w:r w:rsidR="00215212" w:rsidRPr="009830DC">
        <w:t>services</w:t>
      </w:r>
      <w:r w:rsidRPr="009830DC">
        <w:t xml:space="preserve"> and </w:t>
      </w:r>
      <w:r w:rsidR="00215212" w:rsidRPr="009830DC">
        <w:t>capability</w:t>
      </w:r>
      <w:r w:rsidRPr="009830DC">
        <w:t xml:space="preserve"> criteria (as a range or an upper limit, but not precisely) should be provided.</w:t>
      </w:r>
    </w:p>
    <w:p w:rsidR="00C126A9" w:rsidRPr="009830DC" w:rsidRDefault="00C126A9" w:rsidP="00C126A9">
      <w:pPr>
        <w:pStyle w:val="Heading1"/>
      </w:pPr>
      <w:bookmarkStart w:id="10" w:name="_Toc528496940"/>
      <w:r w:rsidRPr="009830DC">
        <w:t>Evaluation of Tenders</w:t>
      </w:r>
      <w:bookmarkEnd w:id="10"/>
    </w:p>
    <w:p w:rsidR="00C126A9" w:rsidRPr="009830DC" w:rsidRDefault="00C126A9" w:rsidP="00C126A9">
      <w:pPr>
        <w:pStyle w:val="DocumentContent"/>
      </w:pPr>
      <w:r w:rsidRPr="009830DC">
        <w:t>Steps in the evaluation process are as follows.</w:t>
      </w:r>
    </w:p>
    <w:p w:rsidR="00C126A9" w:rsidRPr="009830DC" w:rsidRDefault="00C126A9" w:rsidP="00C126A9">
      <w:pPr>
        <w:pStyle w:val="Heading2"/>
      </w:pPr>
      <w:r w:rsidRPr="009830DC">
        <w:t>Pre-tender</w:t>
      </w:r>
    </w:p>
    <w:p w:rsidR="00C126A9" w:rsidRPr="009830DC" w:rsidRDefault="00FF370C" w:rsidP="00C126A9">
      <w:pPr>
        <w:pStyle w:val="BulletedPoint"/>
        <w:numPr>
          <w:ilvl w:val="0"/>
          <w:numId w:val="3"/>
        </w:numPr>
        <w:tabs>
          <w:tab w:val="left" w:pos="567"/>
        </w:tabs>
      </w:pPr>
      <w:r>
        <w:t>The Department’s</w:t>
      </w:r>
      <w:r w:rsidR="00C126A9" w:rsidRPr="009830DC">
        <w:t xml:space="preserve"> </w:t>
      </w:r>
      <w:r w:rsidR="00ED005B" w:rsidRPr="009830DC">
        <w:t xml:space="preserve">project risk manager convenes tender evaluation </w:t>
      </w:r>
      <w:r w:rsidR="00C126A9" w:rsidRPr="009830DC">
        <w:t xml:space="preserve">panel at which the manager will provide an explanation of the method used to score the tender submissions </w:t>
      </w:r>
      <w:r w:rsidR="00C126A9" w:rsidRPr="009830DC">
        <w:lastRenderedPageBreak/>
        <w:t>and a general overview of the scoring regime.  Details of the supporting measures used to score each of the sub-criteria and a checklist of issues to look for in the tender submissions will also be provided.</w:t>
      </w:r>
    </w:p>
    <w:p w:rsidR="00C126A9" w:rsidRPr="009830DC" w:rsidRDefault="00C126A9" w:rsidP="00C126A9">
      <w:pPr>
        <w:pStyle w:val="BulletedPoint"/>
        <w:numPr>
          <w:ilvl w:val="0"/>
          <w:numId w:val="3"/>
        </w:numPr>
        <w:tabs>
          <w:tab w:val="left" w:pos="567"/>
        </w:tabs>
      </w:pPr>
      <w:r w:rsidRPr="009830DC">
        <w:t>The panel agrees by consensus the:</w:t>
      </w:r>
    </w:p>
    <w:p w:rsidR="00C126A9" w:rsidRPr="009830DC" w:rsidRDefault="00C126A9" w:rsidP="00C074B4">
      <w:pPr>
        <w:pStyle w:val="SubBulletedPoint"/>
      </w:pPr>
      <w:r w:rsidRPr="009830DC">
        <w:t xml:space="preserve">weightings for </w:t>
      </w:r>
      <w:r w:rsidR="00A76DAB" w:rsidRPr="009830DC">
        <w:t>p</w:t>
      </w:r>
      <w:r w:rsidRPr="009830DC">
        <w:t xml:space="preserve">rice, </w:t>
      </w:r>
      <w:r w:rsidR="00215212" w:rsidRPr="009830DC">
        <w:t>services</w:t>
      </w:r>
      <w:r w:rsidRPr="009830DC">
        <w:t xml:space="preserve"> and </w:t>
      </w:r>
      <w:r w:rsidR="00215212" w:rsidRPr="009830DC">
        <w:t>capability</w:t>
      </w:r>
      <w:r w:rsidRPr="009830DC">
        <w:t xml:space="preserve"> criteria</w:t>
      </w:r>
    </w:p>
    <w:p w:rsidR="00C126A9" w:rsidRPr="009830DC" w:rsidRDefault="00C126A9" w:rsidP="00C074B4">
      <w:pPr>
        <w:pStyle w:val="SubBulletedPoint"/>
      </w:pPr>
      <w:r w:rsidRPr="009830DC">
        <w:t xml:space="preserve">sub-weightings for </w:t>
      </w:r>
      <w:r w:rsidR="00A76DAB" w:rsidRPr="009830DC">
        <w:t>p</w:t>
      </w:r>
      <w:r w:rsidRPr="009830DC">
        <w:t xml:space="preserve">rice sub-criteria </w:t>
      </w:r>
    </w:p>
    <w:p w:rsidR="00C126A9" w:rsidRPr="009830DC" w:rsidRDefault="00C126A9" w:rsidP="00C074B4">
      <w:pPr>
        <w:pStyle w:val="SubBulletedPoint"/>
      </w:pPr>
      <w:r w:rsidRPr="009830DC">
        <w:t xml:space="preserve">sub-criteria and sub-weightings for </w:t>
      </w:r>
      <w:r w:rsidR="00215212" w:rsidRPr="009830DC">
        <w:t>services</w:t>
      </w:r>
      <w:r w:rsidRPr="009830DC">
        <w:t xml:space="preserve"> criteria</w:t>
      </w:r>
    </w:p>
    <w:p w:rsidR="00C126A9" w:rsidRPr="009830DC" w:rsidRDefault="00A76DAB" w:rsidP="00C074B4">
      <w:pPr>
        <w:pStyle w:val="SubBulletedPoint"/>
      </w:pPr>
      <w:r w:rsidRPr="009830DC">
        <w:t xml:space="preserve">and </w:t>
      </w:r>
      <w:r w:rsidR="00C126A9" w:rsidRPr="009830DC">
        <w:t>incorporates criteria, sub-criteria and an indication of the relative weightings of criteria into registration of interest/tender documents.</w:t>
      </w:r>
    </w:p>
    <w:p w:rsidR="00C126A9" w:rsidRPr="009830DC" w:rsidRDefault="00C126A9" w:rsidP="00C126A9">
      <w:pPr>
        <w:pStyle w:val="Heading2"/>
      </w:pPr>
      <w:r w:rsidRPr="009830DC">
        <w:t xml:space="preserve">Tender </w:t>
      </w:r>
      <w:r w:rsidR="00A76DAB" w:rsidRPr="009830DC">
        <w:t>C</w:t>
      </w:r>
      <w:r w:rsidRPr="009830DC">
        <w:t>lose</w:t>
      </w:r>
    </w:p>
    <w:p w:rsidR="00C126A9" w:rsidRPr="009830DC" w:rsidRDefault="00FF370C" w:rsidP="00C126A9">
      <w:pPr>
        <w:pStyle w:val="BulletedPoint"/>
        <w:numPr>
          <w:ilvl w:val="0"/>
          <w:numId w:val="3"/>
        </w:numPr>
        <w:tabs>
          <w:tab w:val="left" w:pos="567"/>
        </w:tabs>
      </w:pPr>
      <w:r>
        <w:t>The Department’s</w:t>
      </w:r>
      <w:r w:rsidR="00C126A9" w:rsidRPr="009830DC">
        <w:t xml:space="preserve"> </w:t>
      </w:r>
      <w:r w:rsidR="00ED005B" w:rsidRPr="009830DC">
        <w:t xml:space="preserve">contracts management </w:t>
      </w:r>
      <w:r w:rsidR="00C126A9" w:rsidRPr="009830DC">
        <w:t>receives and schedules tenders.</w:t>
      </w:r>
    </w:p>
    <w:p w:rsidR="00C126A9" w:rsidRPr="009830DC" w:rsidRDefault="00FF370C" w:rsidP="00C126A9">
      <w:pPr>
        <w:pStyle w:val="BulletedPoint"/>
        <w:numPr>
          <w:ilvl w:val="0"/>
          <w:numId w:val="3"/>
        </w:numPr>
        <w:tabs>
          <w:tab w:val="left" w:pos="567"/>
        </w:tabs>
      </w:pPr>
      <w:r>
        <w:t>The Department’s</w:t>
      </w:r>
      <w:r w:rsidR="00C126A9" w:rsidRPr="009830DC">
        <w:t xml:space="preserve"> </w:t>
      </w:r>
      <w:r w:rsidR="00ED005B" w:rsidRPr="009830DC">
        <w:t xml:space="preserve">project risk managers review </w:t>
      </w:r>
      <w:r w:rsidR="00C126A9" w:rsidRPr="009830DC">
        <w:t>tenders to ensure conforming bids have been submitted</w:t>
      </w:r>
      <w:r w:rsidR="00027471" w:rsidRPr="009830DC">
        <w:t>, including consideration of Workforce Participation and Industry Participation policy requirements</w:t>
      </w:r>
      <w:r w:rsidR="00C126A9" w:rsidRPr="009830DC">
        <w:t>.</w:t>
      </w:r>
    </w:p>
    <w:p w:rsidR="00C126A9" w:rsidRPr="009830DC" w:rsidRDefault="00FF370C" w:rsidP="00C126A9">
      <w:pPr>
        <w:pStyle w:val="BulletedPoint"/>
        <w:numPr>
          <w:ilvl w:val="0"/>
          <w:numId w:val="3"/>
        </w:numPr>
        <w:tabs>
          <w:tab w:val="left" w:pos="567"/>
        </w:tabs>
      </w:pPr>
      <w:r>
        <w:t>The Department’s</w:t>
      </w:r>
      <w:r w:rsidR="00C126A9" w:rsidRPr="009830DC">
        <w:t xml:space="preserve"> </w:t>
      </w:r>
      <w:r w:rsidR="00ED005B" w:rsidRPr="009830DC">
        <w:t>project ris</w:t>
      </w:r>
      <w:r>
        <w:t>k manager and budget risk adviso</w:t>
      </w:r>
      <w:r w:rsidR="00ED005B" w:rsidRPr="009830DC">
        <w:t xml:space="preserve">r </w:t>
      </w:r>
      <w:r w:rsidR="00C126A9" w:rsidRPr="009830DC">
        <w:t>review tender sums submitted to determine whether there are any unacceptably low bids.  In this event tender evaluation is deferred until confirmation is received from the tenderer(s) that the bid is conforming.</w:t>
      </w:r>
    </w:p>
    <w:p w:rsidR="00C126A9" w:rsidRPr="009830DC" w:rsidRDefault="00FF370C" w:rsidP="00C126A9">
      <w:pPr>
        <w:pStyle w:val="BulletedPoint"/>
        <w:numPr>
          <w:ilvl w:val="0"/>
          <w:numId w:val="3"/>
        </w:numPr>
        <w:tabs>
          <w:tab w:val="left" w:pos="567"/>
        </w:tabs>
      </w:pPr>
      <w:r>
        <w:t>The Department’s</w:t>
      </w:r>
      <w:r w:rsidR="00C126A9" w:rsidRPr="009830DC">
        <w:t xml:space="preserve"> </w:t>
      </w:r>
      <w:r w:rsidR="00ED005B" w:rsidRPr="009830DC">
        <w:t>budget risk advis</w:t>
      </w:r>
      <w:r>
        <w:t>o</w:t>
      </w:r>
      <w:r w:rsidR="00ED005B" w:rsidRPr="009830DC">
        <w:t xml:space="preserve">r reaches </w:t>
      </w:r>
      <w:r w:rsidR="00C126A9" w:rsidRPr="009830DC">
        <w:t xml:space="preserve">consensus with project cost manager on the </w:t>
      </w:r>
      <w:r w:rsidR="00A76DAB" w:rsidRPr="009830DC">
        <w:t>p</w:t>
      </w:r>
      <w:r w:rsidR="00C126A9" w:rsidRPr="009830DC">
        <w:t xml:space="preserve">rice </w:t>
      </w:r>
      <w:r w:rsidR="00A76DAB" w:rsidRPr="009830DC">
        <w:t>b</w:t>
      </w:r>
      <w:r w:rsidR="00027471" w:rsidRPr="009830DC">
        <w:t>enchmark</w:t>
      </w:r>
      <w:r w:rsidR="00C126A9" w:rsidRPr="009830DC">
        <w:t>.</w:t>
      </w:r>
    </w:p>
    <w:p w:rsidR="00C126A9" w:rsidRPr="009830DC" w:rsidRDefault="00FF370C" w:rsidP="00C126A9">
      <w:pPr>
        <w:pStyle w:val="BulletedPoint"/>
        <w:numPr>
          <w:ilvl w:val="0"/>
          <w:numId w:val="3"/>
        </w:numPr>
        <w:tabs>
          <w:tab w:val="left" w:pos="567"/>
        </w:tabs>
      </w:pPr>
      <w:r>
        <w:t>The Department’s</w:t>
      </w:r>
      <w:r w:rsidRPr="009830DC">
        <w:t xml:space="preserve"> </w:t>
      </w:r>
      <w:r w:rsidR="00C126A9" w:rsidRPr="009830DC">
        <w:t xml:space="preserve">inputs all weightings, benchmarks and the </w:t>
      </w:r>
      <w:r w:rsidR="00A76DAB" w:rsidRPr="009830DC">
        <w:t>p</w:t>
      </w:r>
      <w:r w:rsidR="00C126A9" w:rsidRPr="009830DC">
        <w:t xml:space="preserve">erformance </w:t>
      </w:r>
      <w:r w:rsidR="00A76DAB" w:rsidRPr="009830DC">
        <w:t>s</w:t>
      </w:r>
      <w:r w:rsidR="00C126A9" w:rsidRPr="009830DC">
        <w:t xml:space="preserve">cores into the </w:t>
      </w:r>
      <w:r w:rsidR="00A76DAB" w:rsidRPr="009830DC">
        <w:t>v</w:t>
      </w:r>
      <w:r w:rsidR="00C126A9" w:rsidRPr="009830DC">
        <w:t xml:space="preserve">alue </w:t>
      </w:r>
      <w:r w:rsidR="00A76DAB" w:rsidRPr="009830DC">
        <w:t>s</w:t>
      </w:r>
      <w:r w:rsidR="00C126A9" w:rsidRPr="009830DC">
        <w:t xml:space="preserve">election </w:t>
      </w:r>
      <w:r w:rsidR="00A76DAB" w:rsidRPr="009830DC">
        <w:t>m</w:t>
      </w:r>
      <w:r w:rsidR="00C126A9" w:rsidRPr="009830DC">
        <w:t xml:space="preserve">atrix, prepares overview summary of the </w:t>
      </w:r>
      <w:r w:rsidR="00B831AC" w:rsidRPr="009830DC">
        <w:t>services criteria</w:t>
      </w:r>
      <w:r w:rsidR="00C126A9" w:rsidRPr="009830DC">
        <w:t xml:space="preserve"> information submitted by tenderers and in addition to a copy of all tenders, provides summary to members of the tender evaluation panel.</w:t>
      </w:r>
    </w:p>
    <w:p w:rsidR="00C126A9" w:rsidRPr="009830DC" w:rsidRDefault="00C126A9" w:rsidP="00C126A9">
      <w:pPr>
        <w:pStyle w:val="Heading2"/>
      </w:pPr>
      <w:r w:rsidRPr="009830DC">
        <w:t>Alternate Bids</w:t>
      </w:r>
    </w:p>
    <w:p w:rsidR="00C126A9" w:rsidRPr="009830DC" w:rsidRDefault="00FF370C" w:rsidP="00C126A9">
      <w:pPr>
        <w:pStyle w:val="BulletedPoint"/>
        <w:numPr>
          <w:ilvl w:val="0"/>
          <w:numId w:val="3"/>
        </w:numPr>
        <w:tabs>
          <w:tab w:val="left" w:pos="567"/>
        </w:tabs>
      </w:pPr>
      <w:r>
        <w:t>The Department’s</w:t>
      </w:r>
      <w:r w:rsidR="00C126A9" w:rsidRPr="009830DC">
        <w:t xml:space="preserve"> </w:t>
      </w:r>
      <w:r w:rsidR="00ED005B" w:rsidRPr="009830DC">
        <w:t xml:space="preserve">project risk manager convenes </w:t>
      </w:r>
      <w:r w:rsidR="00C126A9" w:rsidRPr="009830DC">
        <w:t>the tender evaluation panel and reviews any submitted alternatives and applies D</w:t>
      </w:r>
      <w:r w:rsidR="00A76DAB" w:rsidRPr="009830DC">
        <w:t>P</w:t>
      </w:r>
      <w:r w:rsidR="00C126A9" w:rsidRPr="009830DC">
        <w:t>TI alternative assessment procedures.</w:t>
      </w:r>
    </w:p>
    <w:p w:rsidR="00C126A9" w:rsidRPr="009830DC" w:rsidRDefault="00FF370C" w:rsidP="00C126A9">
      <w:pPr>
        <w:pStyle w:val="BulletedPoint"/>
        <w:numPr>
          <w:ilvl w:val="0"/>
          <w:numId w:val="3"/>
        </w:numPr>
        <w:tabs>
          <w:tab w:val="left" w:pos="567"/>
        </w:tabs>
      </w:pPr>
      <w:r>
        <w:t>The Department</w:t>
      </w:r>
      <w:r w:rsidR="00C126A9" w:rsidRPr="009830DC">
        <w:t xml:space="preserve"> inputs tender sums (revised to reflect acceptable alternatives) into </w:t>
      </w:r>
      <w:r w:rsidR="00A76DAB" w:rsidRPr="009830DC">
        <w:t xml:space="preserve">value selection matrix </w:t>
      </w:r>
      <w:r w:rsidR="00C126A9" w:rsidRPr="009830DC">
        <w:t>and provides matrix to members of the tender evaluation panel.</w:t>
      </w:r>
    </w:p>
    <w:p w:rsidR="00C126A9" w:rsidRPr="009830DC" w:rsidRDefault="00C126A9" w:rsidP="00C126A9">
      <w:pPr>
        <w:pStyle w:val="BulletedPoint"/>
        <w:numPr>
          <w:ilvl w:val="0"/>
          <w:numId w:val="3"/>
        </w:numPr>
        <w:tabs>
          <w:tab w:val="left" w:pos="567"/>
        </w:tabs>
      </w:pPr>
      <w:r w:rsidRPr="009830DC">
        <w:t xml:space="preserve">Where an acceptable alternate bid provides a very significant variation in the tender sum from the </w:t>
      </w:r>
      <w:r w:rsidR="00ED005B" w:rsidRPr="009830DC">
        <w:t xml:space="preserve">price benchmark, </w:t>
      </w:r>
      <w:r w:rsidRPr="009830DC">
        <w:t>the alternate bid will be fully evaluated including conformity with technical and contractual requirements in the tender documents, prior to progressing the value selection process.</w:t>
      </w:r>
    </w:p>
    <w:p w:rsidR="00C126A9" w:rsidRPr="009830DC" w:rsidRDefault="00C126A9" w:rsidP="00C126A9">
      <w:pPr>
        <w:pStyle w:val="BulletedPoint"/>
        <w:numPr>
          <w:ilvl w:val="0"/>
          <w:numId w:val="3"/>
        </w:numPr>
        <w:tabs>
          <w:tab w:val="left" w:pos="567"/>
        </w:tabs>
      </w:pPr>
      <w:r w:rsidRPr="009830DC">
        <w:t>Where an acceptable alternate bid is such that there is no possibility that other tenders will be judged to offer better value</w:t>
      </w:r>
      <w:r w:rsidR="00ED005B" w:rsidRPr="009830DC">
        <w:t xml:space="preserve">, </w:t>
      </w:r>
      <w:r w:rsidRPr="009830DC">
        <w:t>then in these circumstances</w:t>
      </w:r>
      <w:r w:rsidR="00ED005B" w:rsidRPr="009830DC">
        <w:t>,</w:t>
      </w:r>
      <w:r w:rsidRPr="009830DC">
        <w:t xml:space="preserve"> </w:t>
      </w:r>
      <w:r w:rsidR="00FF370C">
        <w:t>the Department</w:t>
      </w:r>
      <w:r w:rsidRPr="009830DC">
        <w:t xml:space="preserve"> reserves the right not to continue with the subsequent steps of the value selection process.</w:t>
      </w:r>
    </w:p>
    <w:p w:rsidR="00C126A9" w:rsidRPr="009830DC" w:rsidRDefault="00C126A9" w:rsidP="00C126A9">
      <w:pPr>
        <w:pStyle w:val="Heading1"/>
      </w:pPr>
      <w:bookmarkStart w:id="11" w:name="_Toc528496941"/>
      <w:r w:rsidRPr="009830DC">
        <w:t>Scoring</w:t>
      </w:r>
      <w:bookmarkEnd w:id="11"/>
    </w:p>
    <w:p w:rsidR="00C126A9" w:rsidRPr="009830DC" w:rsidRDefault="00C126A9" w:rsidP="00C126A9">
      <w:pPr>
        <w:pStyle w:val="Heading2"/>
      </w:pPr>
      <w:r w:rsidRPr="009830DC">
        <w:t xml:space="preserve">Scoring </w:t>
      </w:r>
      <w:r w:rsidR="00B831AC" w:rsidRPr="009830DC">
        <w:t>Services</w:t>
      </w:r>
    </w:p>
    <w:p w:rsidR="00C126A9" w:rsidRPr="009830DC" w:rsidRDefault="00C126A9" w:rsidP="00C126A9">
      <w:pPr>
        <w:pStyle w:val="BulletedPoint"/>
        <w:numPr>
          <w:ilvl w:val="0"/>
          <w:numId w:val="0"/>
        </w:numPr>
      </w:pPr>
      <w:r w:rsidRPr="009830DC">
        <w:t xml:space="preserve">In preparation for a meeting of the tender evaluation panel each panel member individually evaluates each tender submission and scores the </w:t>
      </w:r>
      <w:r w:rsidR="00B831AC" w:rsidRPr="009830DC">
        <w:t>services criteria</w:t>
      </w:r>
      <w:r w:rsidRPr="009830DC">
        <w:t>.</w:t>
      </w:r>
    </w:p>
    <w:p w:rsidR="00C126A9" w:rsidRPr="009830DC" w:rsidRDefault="00C126A9" w:rsidP="00C126A9">
      <w:pPr>
        <w:pStyle w:val="BulletedPoint"/>
        <w:numPr>
          <w:ilvl w:val="0"/>
          <w:numId w:val="0"/>
        </w:numPr>
      </w:pPr>
      <w:r w:rsidRPr="009830DC">
        <w:lastRenderedPageBreak/>
        <w:t>After considering each panel member’s individual evaluation</w:t>
      </w:r>
      <w:r w:rsidR="00ED005B" w:rsidRPr="009830DC">
        <w:t>,</w:t>
      </w:r>
      <w:r w:rsidRPr="009830DC">
        <w:t xml:space="preserve"> the panel decides the scores for the </w:t>
      </w:r>
      <w:r w:rsidR="00B831AC" w:rsidRPr="009830DC">
        <w:t>services criteria</w:t>
      </w:r>
      <w:r w:rsidRPr="009830DC">
        <w:t xml:space="preserve"> by </w:t>
      </w:r>
      <w:r w:rsidRPr="009830DC">
        <w:rPr>
          <w:u w:val="single"/>
        </w:rPr>
        <w:t>consensus</w:t>
      </w:r>
      <w:r w:rsidRPr="009830DC">
        <w:t>.  (Individual panel member’s scores are not averaged and are not recorded.)</w:t>
      </w:r>
    </w:p>
    <w:p w:rsidR="00C126A9" w:rsidRPr="009830DC" w:rsidRDefault="00C126A9" w:rsidP="00C126A9">
      <w:pPr>
        <w:pStyle w:val="DocumentContent"/>
      </w:pPr>
      <w:r w:rsidRPr="009830DC">
        <w:t xml:space="preserve">Scoring produces a spread of points that reflects the relative merits of each tender submission.  This guide note recommends a generic scoring method for project specific </w:t>
      </w:r>
      <w:r w:rsidR="00B831AC" w:rsidRPr="009830DC">
        <w:t>services criteria</w:t>
      </w:r>
      <w:r w:rsidRPr="009830DC">
        <w:t>.  Scores are allocated across a range from 0 to 10.  The score is determined by assessing subm</w:t>
      </w:r>
      <w:r w:rsidR="00ED005B" w:rsidRPr="009830DC">
        <w:t>issions, for example, as follows.</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17"/>
        <w:gridCol w:w="7403"/>
      </w:tblGrid>
      <w:tr w:rsidR="00ED005B" w:rsidRPr="009830DC" w:rsidTr="00587678">
        <w:tc>
          <w:tcPr>
            <w:tcW w:w="9356" w:type="dxa"/>
            <w:gridSpan w:val="2"/>
            <w:shd w:val="clear" w:color="auto" w:fill="BEB97E"/>
          </w:tcPr>
          <w:p w:rsidR="00ED005B" w:rsidRPr="009830DC" w:rsidRDefault="00ED005B" w:rsidP="00D45B01">
            <w:pPr>
              <w:pStyle w:val="TableContent"/>
              <w:jc w:val="center"/>
              <w:rPr>
                <w:b/>
                <w:bCs/>
              </w:rPr>
            </w:pPr>
            <w:r w:rsidRPr="009830DC">
              <w:rPr>
                <w:b/>
                <w:bCs/>
              </w:rPr>
              <w:t>Range of scores (0 to 10 points)</w:t>
            </w:r>
          </w:p>
        </w:tc>
      </w:tr>
      <w:tr w:rsidR="00ED005B" w:rsidRPr="009830DC" w:rsidTr="00F03B35">
        <w:tc>
          <w:tcPr>
            <w:tcW w:w="1843" w:type="dxa"/>
          </w:tcPr>
          <w:p w:rsidR="00ED005B" w:rsidRPr="009830DC" w:rsidRDefault="00ED005B" w:rsidP="00D45B01">
            <w:pPr>
              <w:pStyle w:val="TableContent"/>
              <w:jc w:val="center"/>
            </w:pPr>
            <w:r w:rsidRPr="009830DC">
              <w:t>9-10</w:t>
            </w:r>
          </w:p>
        </w:tc>
        <w:tc>
          <w:tcPr>
            <w:tcW w:w="7513" w:type="dxa"/>
          </w:tcPr>
          <w:p w:rsidR="00ED005B" w:rsidRPr="009830DC" w:rsidRDefault="00ED005B" w:rsidP="00D45B01">
            <w:pPr>
              <w:pStyle w:val="TableContent"/>
              <w:jc w:val="center"/>
            </w:pPr>
            <w:r w:rsidRPr="009830DC">
              <w:t>Demonstrates excellent level of capability</w:t>
            </w:r>
          </w:p>
        </w:tc>
      </w:tr>
      <w:tr w:rsidR="00ED005B" w:rsidRPr="009830DC" w:rsidTr="00F03B35">
        <w:tc>
          <w:tcPr>
            <w:tcW w:w="1843" w:type="dxa"/>
          </w:tcPr>
          <w:p w:rsidR="00ED005B" w:rsidRPr="009830DC" w:rsidRDefault="00ED005B" w:rsidP="00D45B01">
            <w:pPr>
              <w:pStyle w:val="TableContent"/>
              <w:jc w:val="center"/>
            </w:pPr>
            <w:r w:rsidRPr="009830DC">
              <w:t>7-8</w:t>
            </w:r>
          </w:p>
        </w:tc>
        <w:tc>
          <w:tcPr>
            <w:tcW w:w="7513" w:type="dxa"/>
          </w:tcPr>
          <w:p w:rsidR="00ED005B" w:rsidRPr="009830DC" w:rsidRDefault="00ED005B" w:rsidP="00D45B01">
            <w:pPr>
              <w:pStyle w:val="TableContent"/>
              <w:jc w:val="center"/>
            </w:pPr>
            <w:r w:rsidRPr="009830DC">
              <w:t>Demonstrates good level of capability</w:t>
            </w:r>
          </w:p>
        </w:tc>
      </w:tr>
      <w:tr w:rsidR="00ED005B" w:rsidRPr="009830DC" w:rsidTr="00F03B35">
        <w:tc>
          <w:tcPr>
            <w:tcW w:w="1843" w:type="dxa"/>
          </w:tcPr>
          <w:p w:rsidR="00ED005B" w:rsidRPr="009830DC" w:rsidRDefault="00ED005B" w:rsidP="00D45B01">
            <w:pPr>
              <w:pStyle w:val="TableContent"/>
              <w:jc w:val="center"/>
            </w:pPr>
            <w:r w:rsidRPr="009830DC">
              <w:t>5-6</w:t>
            </w:r>
          </w:p>
        </w:tc>
        <w:tc>
          <w:tcPr>
            <w:tcW w:w="7513" w:type="dxa"/>
          </w:tcPr>
          <w:p w:rsidR="00ED005B" w:rsidRPr="009830DC" w:rsidRDefault="00ED005B" w:rsidP="00D45B01">
            <w:pPr>
              <w:pStyle w:val="TableContent"/>
              <w:jc w:val="center"/>
            </w:pPr>
            <w:r w:rsidRPr="009830DC">
              <w:t>Demonstrates adequate capability</w:t>
            </w:r>
          </w:p>
        </w:tc>
      </w:tr>
      <w:tr w:rsidR="00ED005B" w:rsidRPr="009830DC" w:rsidTr="00F03B35">
        <w:tc>
          <w:tcPr>
            <w:tcW w:w="1843" w:type="dxa"/>
          </w:tcPr>
          <w:p w:rsidR="00ED005B" w:rsidRPr="009830DC" w:rsidRDefault="00ED005B" w:rsidP="00D45B01">
            <w:pPr>
              <w:pStyle w:val="TableContent"/>
              <w:jc w:val="center"/>
            </w:pPr>
            <w:r w:rsidRPr="009830DC">
              <w:t>3-4</w:t>
            </w:r>
          </w:p>
        </w:tc>
        <w:tc>
          <w:tcPr>
            <w:tcW w:w="7513" w:type="dxa"/>
          </w:tcPr>
          <w:p w:rsidR="00ED005B" w:rsidRPr="009830DC" w:rsidRDefault="00ED005B" w:rsidP="00D45B01">
            <w:pPr>
              <w:pStyle w:val="TableContent"/>
              <w:jc w:val="center"/>
            </w:pPr>
            <w:r w:rsidRPr="009830DC">
              <w:t>Demonstrates some capability</w:t>
            </w:r>
          </w:p>
        </w:tc>
      </w:tr>
      <w:tr w:rsidR="00ED005B" w:rsidRPr="009830DC" w:rsidTr="00F03B35">
        <w:tc>
          <w:tcPr>
            <w:tcW w:w="1843" w:type="dxa"/>
          </w:tcPr>
          <w:p w:rsidR="00ED005B" w:rsidRPr="009830DC" w:rsidRDefault="00ED005B" w:rsidP="00D45B01">
            <w:pPr>
              <w:pStyle w:val="TableContent"/>
              <w:jc w:val="center"/>
            </w:pPr>
            <w:r w:rsidRPr="009830DC">
              <w:t>1-2</w:t>
            </w:r>
          </w:p>
        </w:tc>
        <w:tc>
          <w:tcPr>
            <w:tcW w:w="7513" w:type="dxa"/>
          </w:tcPr>
          <w:p w:rsidR="00ED005B" w:rsidRPr="009830DC" w:rsidRDefault="00ED005B" w:rsidP="00D45B01">
            <w:pPr>
              <w:pStyle w:val="TableContent"/>
              <w:jc w:val="center"/>
            </w:pPr>
            <w:r w:rsidRPr="009830DC">
              <w:t>Does not adequately demonstrate capability</w:t>
            </w:r>
          </w:p>
        </w:tc>
      </w:tr>
      <w:tr w:rsidR="00ED005B" w:rsidRPr="009830DC" w:rsidTr="00F03B35">
        <w:tc>
          <w:tcPr>
            <w:tcW w:w="1843" w:type="dxa"/>
          </w:tcPr>
          <w:p w:rsidR="00ED005B" w:rsidRPr="009830DC" w:rsidRDefault="00ED005B" w:rsidP="00D45B01">
            <w:pPr>
              <w:pStyle w:val="TableContent"/>
              <w:jc w:val="center"/>
            </w:pPr>
            <w:r w:rsidRPr="009830DC">
              <w:t>0</w:t>
            </w:r>
          </w:p>
        </w:tc>
        <w:tc>
          <w:tcPr>
            <w:tcW w:w="7513" w:type="dxa"/>
          </w:tcPr>
          <w:p w:rsidR="00ED005B" w:rsidRPr="009830DC" w:rsidRDefault="00ED005B" w:rsidP="00D45B01">
            <w:pPr>
              <w:pStyle w:val="TableContent"/>
              <w:jc w:val="center"/>
            </w:pPr>
            <w:r w:rsidRPr="009830DC">
              <w:t>Fails to address criterion</w:t>
            </w:r>
          </w:p>
        </w:tc>
      </w:tr>
    </w:tbl>
    <w:p w:rsidR="00C126A9" w:rsidRPr="009830DC" w:rsidRDefault="00C126A9" w:rsidP="00C126A9">
      <w:pPr>
        <w:pStyle w:val="DocumentContent"/>
      </w:pPr>
      <w:r w:rsidRPr="009830DC">
        <w:t xml:space="preserve">The matrix then applies the agreed weighting of each </w:t>
      </w:r>
      <w:r w:rsidR="00215212" w:rsidRPr="009830DC">
        <w:t>services</w:t>
      </w:r>
      <w:r w:rsidRPr="009830DC">
        <w:t xml:space="preserve"> criteria to calculate the final weighted score for </w:t>
      </w:r>
      <w:r w:rsidR="00215212" w:rsidRPr="009830DC">
        <w:t>services</w:t>
      </w:r>
      <w:r w:rsidRPr="009830DC">
        <w:t xml:space="preserve"> criteria.</w:t>
      </w:r>
    </w:p>
    <w:p w:rsidR="00C126A9" w:rsidRPr="009830DC" w:rsidRDefault="00C126A9" w:rsidP="00C126A9">
      <w:pPr>
        <w:pStyle w:val="Heading2"/>
      </w:pPr>
      <w:r w:rsidRPr="009830DC">
        <w:t>Scoring Price</w:t>
      </w:r>
    </w:p>
    <w:p w:rsidR="00C126A9" w:rsidRPr="009830DC" w:rsidRDefault="00C126A9" w:rsidP="00C126A9">
      <w:pPr>
        <w:pStyle w:val="DocumentContent"/>
      </w:pPr>
      <w:r w:rsidRPr="009830DC">
        <w:t xml:space="preserve">The </w:t>
      </w:r>
      <w:r w:rsidR="00FF370C">
        <w:t>Department’s</w:t>
      </w:r>
      <w:r w:rsidRPr="009830DC">
        <w:t xml:space="preserve"> </w:t>
      </w:r>
      <w:r w:rsidR="00ED005B" w:rsidRPr="009830DC">
        <w:t xml:space="preserve">value selection matrix </w:t>
      </w:r>
      <w:r w:rsidRPr="009830DC">
        <w:t xml:space="preserve">includes </w:t>
      </w:r>
      <w:r w:rsidR="00ED005B" w:rsidRPr="009830DC">
        <w:t xml:space="preserve">a </w:t>
      </w:r>
      <w:r w:rsidRPr="009830DC">
        <w:t>built in formula that create</w:t>
      </w:r>
      <w:r w:rsidR="00ED005B" w:rsidRPr="009830DC">
        <w:t>s</w:t>
      </w:r>
      <w:r w:rsidRPr="009830DC">
        <w:t xml:space="preserve"> a score for the two price sub-criteria of tender price and price risk based on the tender sum.</w:t>
      </w:r>
    </w:p>
    <w:p w:rsidR="00C126A9" w:rsidRPr="009830DC" w:rsidRDefault="00C126A9" w:rsidP="00C126A9">
      <w:pPr>
        <w:pStyle w:val="DocumentContent"/>
      </w:pPr>
      <w:r w:rsidRPr="009830DC">
        <w:t xml:space="preserve">The </w:t>
      </w:r>
      <w:r w:rsidRPr="009830DC">
        <w:rPr>
          <w:b/>
        </w:rPr>
        <w:t>tender price</w:t>
      </w:r>
      <w:r w:rsidRPr="009830DC">
        <w:t xml:space="preserve"> sub-criterion compares the tender sum with the lowest acceptable tender sum received.  The lowest acceptable tender submitted always receives the highest score of 10.</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75"/>
        <w:gridCol w:w="4675"/>
      </w:tblGrid>
      <w:tr w:rsidR="00C126A9" w:rsidRPr="009830DC" w:rsidTr="00587678">
        <w:tc>
          <w:tcPr>
            <w:tcW w:w="4675" w:type="dxa"/>
            <w:shd w:val="clear" w:color="auto" w:fill="BEB97E"/>
          </w:tcPr>
          <w:p w:rsidR="00C126A9" w:rsidRPr="009830DC" w:rsidRDefault="00C126A9" w:rsidP="00D45B01">
            <w:pPr>
              <w:pStyle w:val="TableContent"/>
              <w:jc w:val="center"/>
              <w:rPr>
                <w:b/>
              </w:rPr>
            </w:pPr>
            <w:r w:rsidRPr="009830DC">
              <w:rPr>
                <w:b/>
              </w:rPr>
              <w:t>Range of scores</w:t>
            </w:r>
            <w:r w:rsidR="00ED005B" w:rsidRPr="009830DC">
              <w:rPr>
                <w:b/>
              </w:rPr>
              <w:br/>
            </w:r>
            <w:r w:rsidRPr="009830DC">
              <w:rPr>
                <w:sz w:val="16"/>
                <w:szCs w:val="16"/>
              </w:rPr>
              <w:t>(Sliding score to 2 decimal points)</w:t>
            </w:r>
          </w:p>
        </w:tc>
        <w:tc>
          <w:tcPr>
            <w:tcW w:w="4675" w:type="dxa"/>
            <w:shd w:val="clear" w:color="auto" w:fill="BEB97E"/>
          </w:tcPr>
          <w:p w:rsidR="00C126A9" w:rsidRPr="009830DC" w:rsidRDefault="00C126A9" w:rsidP="00D45B01">
            <w:pPr>
              <w:pStyle w:val="TableContent"/>
              <w:jc w:val="center"/>
              <w:rPr>
                <w:b/>
              </w:rPr>
            </w:pPr>
            <w:r w:rsidRPr="009830DC">
              <w:rPr>
                <w:b/>
              </w:rPr>
              <w:t xml:space="preserve">% greater than the lowest acceptable </w:t>
            </w:r>
            <w:r w:rsidR="00ED005B" w:rsidRPr="009830DC">
              <w:rPr>
                <w:b/>
              </w:rPr>
              <w:br/>
            </w:r>
            <w:r w:rsidRPr="009830DC">
              <w:rPr>
                <w:b/>
              </w:rPr>
              <w:t>tender sum</w:t>
            </w:r>
          </w:p>
        </w:tc>
      </w:tr>
      <w:tr w:rsidR="00C126A9" w:rsidRPr="009830DC" w:rsidTr="00F03B35">
        <w:tc>
          <w:tcPr>
            <w:tcW w:w="4675" w:type="dxa"/>
          </w:tcPr>
          <w:p w:rsidR="00C126A9" w:rsidRPr="009830DC" w:rsidRDefault="00C126A9" w:rsidP="00D45B01">
            <w:pPr>
              <w:pStyle w:val="TableContent"/>
              <w:jc w:val="center"/>
            </w:pPr>
            <w:r w:rsidRPr="009830DC">
              <w:t>Up to 10 points</w:t>
            </w:r>
          </w:p>
        </w:tc>
        <w:tc>
          <w:tcPr>
            <w:tcW w:w="4675" w:type="dxa"/>
          </w:tcPr>
          <w:p w:rsidR="00C126A9" w:rsidRPr="009830DC" w:rsidRDefault="00C126A9" w:rsidP="00D45B01">
            <w:pPr>
              <w:pStyle w:val="TableContent"/>
              <w:jc w:val="center"/>
            </w:pPr>
            <w:r w:rsidRPr="009830DC">
              <w:t>0-9%</w:t>
            </w:r>
          </w:p>
        </w:tc>
      </w:tr>
      <w:tr w:rsidR="00C126A9" w:rsidRPr="009830DC" w:rsidTr="00F03B35">
        <w:tc>
          <w:tcPr>
            <w:tcW w:w="4675" w:type="dxa"/>
          </w:tcPr>
          <w:p w:rsidR="00C126A9" w:rsidRPr="009830DC" w:rsidRDefault="00C126A9" w:rsidP="00D45B01">
            <w:pPr>
              <w:pStyle w:val="TableContent"/>
              <w:jc w:val="center"/>
            </w:pPr>
            <w:r w:rsidRPr="009830DC">
              <w:t>Up to 8 points</w:t>
            </w:r>
          </w:p>
        </w:tc>
        <w:tc>
          <w:tcPr>
            <w:tcW w:w="4675" w:type="dxa"/>
          </w:tcPr>
          <w:p w:rsidR="00C126A9" w:rsidRPr="009830DC" w:rsidRDefault="00C126A9" w:rsidP="00D45B01">
            <w:pPr>
              <w:pStyle w:val="TableContent"/>
              <w:jc w:val="center"/>
            </w:pPr>
            <w:r w:rsidRPr="009830DC">
              <w:t>10-19%</w:t>
            </w:r>
          </w:p>
        </w:tc>
      </w:tr>
      <w:tr w:rsidR="00C126A9" w:rsidRPr="009830DC" w:rsidTr="00F03B35">
        <w:tc>
          <w:tcPr>
            <w:tcW w:w="4675" w:type="dxa"/>
          </w:tcPr>
          <w:p w:rsidR="00C126A9" w:rsidRPr="009830DC" w:rsidRDefault="00C126A9" w:rsidP="00D45B01">
            <w:pPr>
              <w:pStyle w:val="TableContent"/>
              <w:jc w:val="center"/>
            </w:pPr>
            <w:r w:rsidRPr="009830DC">
              <w:t>Up to 6 points</w:t>
            </w:r>
          </w:p>
        </w:tc>
        <w:tc>
          <w:tcPr>
            <w:tcW w:w="4675" w:type="dxa"/>
          </w:tcPr>
          <w:p w:rsidR="00C126A9" w:rsidRPr="009830DC" w:rsidRDefault="00C126A9" w:rsidP="00D45B01">
            <w:pPr>
              <w:pStyle w:val="TableContent"/>
              <w:jc w:val="center"/>
            </w:pPr>
            <w:r w:rsidRPr="009830DC">
              <w:t>20-39%</w:t>
            </w:r>
          </w:p>
        </w:tc>
      </w:tr>
      <w:tr w:rsidR="00C126A9" w:rsidRPr="009830DC" w:rsidTr="00F03B35">
        <w:tc>
          <w:tcPr>
            <w:tcW w:w="4675" w:type="dxa"/>
          </w:tcPr>
          <w:p w:rsidR="00C126A9" w:rsidRPr="009830DC" w:rsidRDefault="00C126A9" w:rsidP="00D45B01">
            <w:pPr>
              <w:pStyle w:val="TableContent"/>
              <w:jc w:val="center"/>
            </w:pPr>
            <w:r w:rsidRPr="009830DC">
              <w:t>Up to 4 points</w:t>
            </w:r>
          </w:p>
        </w:tc>
        <w:tc>
          <w:tcPr>
            <w:tcW w:w="4675" w:type="dxa"/>
          </w:tcPr>
          <w:p w:rsidR="00C126A9" w:rsidRPr="009830DC" w:rsidRDefault="00C126A9" w:rsidP="00D45B01">
            <w:pPr>
              <w:pStyle w:val="TableContent"/>
              <w:jc w:val="center"/>
            </w:pPr>
            <w:r w:rsidRPr="009830DC">
              <w:t>40-69%</w:t>
            </w:r>
          </w:p>
        </w:tc>
      </w:tr>
      <w:tr w:rsidR="00C126A9" w:rsidRPr="009830DC" w:rsidTr="00F03B35">
        <w:tc>
          <w:tcPr>
            <w:tcW w:w="4675" w:type="dxa"/>
          </w:tcPr>
          <w:p w:rsidR="00C126A9" w:rsidRPr="009830DC" w:rsidRDefault="00C126A9" w:rsidP="00D45B01">
            <w:pPr>
              <w:pStyle w:val="TableContent"/>
              <w:jc w:val="center"/>
            </w:pPr>
            <w:r w:rsidRPr="009830DC">
              <w:t>Up to 2 points</w:t>
            </w:r>
          </w:p>
        </w:tc>
        <w:tc>
          <w:tcPr>
            <w:tcW w:w="4675" w:type="dxa"/>
          </w:tcPr>
          <w:p w:rsidR="00C126A9" w:rsidRPr="009830DC" w:rsidRDefault="00C126A9" w:rsidP="00D45B01">
            <w:pPr>
              <w:pStyle w:val="TableContent"/>
              <w:jc w:val="center"/>
            </w:pPr>
            <w:r w:rsidRPr="009830DC">
              <w:t>70-99%</w:t>
            </w:r>
          </w:p>
        </w:tc>
      </w:tr>
      <w:tr w:rsidR="00C126A9" w:rsidRPr="009830DC" w:rsidTr="00F03B35">
        <w:tc>
          <w:tcPr>
            <w:tcW w:w="4675" w:type="dxa"/>
          </w:tcPr>
          <w:p w:rsidR="00C126A9" w:rsidRPr="009830DC" w:rsidRDefault="00C126A9" w:rsidP="00D45B01">
            <w:pPr>
              <w:pStyle w:val="TableContent"/>
              <w:jc w:val="center"/>
            </w:pPr>
            <w:r w:rsidRPr="009830DC">
              <w:t>0 points</w:t>
            </w:r>
          </w:p>
        </w:tc>
        <w:tc>
          <w:tcPr>
            <w:tcW w:w="4675" w:type="dxa"/>
          </w:tcPr>
          <w:p w:rsidR="00C126A9" w:rsidRPr="009830DC" w:rsidRDefault="00C126A9" w:rsidP="00D45B01">
            <w:pPr>
              <w:pStyle w:val="TableContent"/>
              <w:jc w:val="center"/>
            </w:pPr>
            <w:r w:rsidRPr="009830DC">
              <w:t>100 or greater</w:t>
            </w:r>
          </w:p>
        </w:tc>
      </w:tr>
    </w:tbl>
    <w:p w:rsidR="00C126A9" w:rsidRPr="009830DC" w:rsidRDefault="00C126A9" w:rsidP="00C126A9">
      <w:pPr>
        <w:pStyle w:val="DocumentContent"/>
      </w:pPr>
    </w:p>
    <w:p w:rsidR="00C126A9" w:rsidRPr="009830DC" w:rsidRDefault="00C126A9" w:rsidP="00C126A9">
      <w:pPr>
        <w:pStyle w:val="DocumentContent"/>
      </w:pPr>
      <w:r w:rsidRPr="009830DC">
        <w:t xml:space="preserve">The </w:t>
      </w:r>
      <w:r w:rsidRPr="009830DC">
        <w:rPr>
          <w:b/>
        </w:rPr>
        <w:t>price risk</w:t>
      </w:r>
      <w:r w:rsidRPr="009830DC">
        <w:t xml:space="preserve"> sub-criterion compares the tender sum with a </w:t>
      </w:r>
      <w:r w:rsidR="00ED005B" w:rsidRPr="009830DC">
        <w:t xml:space="preserve">price benchmark.  </w:t>
      </w:r>
      <w:r w:rsidRPr="009830DC">
        <w:t xml:space="preserve">The benchmark is established by the </w:t>
      </w:r>
      <w:r w:rsidR="00FF370C">
        <w:t>Department’s budget risk adviso</w:t>
      </w:r>
      <w:r w:rsidR="00ED005B" w:rsidRPr="009830DC">
        <w:t xml:space="preserve">r in consultation </w:t>
      </w:r>
      <w:r w:rsidRPr="009830DC">
        <w:t>with the project’s cost manager and takes into consideration the pre-tender estimate (as the professional assessment of the construction cost) and the submitted tenders (as the market assessment of the construction cost).</w:t>
      </w:r>
    </w:p>
    <w:p w:rsidR="00A27054" w:rsidRDefault="00C126A9" w:rsidP="00C126A9">
      <w:pPr>
        <w:pStyle w:val="DocumentContent"/>
      </w:pPr>
      <w:r w:rsidRPr="009830DC">
        <w:t xml:space="preserve">Tender sums close to the benchmark receive the highest scores.  Tender sums percentages below or above the </w:t>
      </w:r>
      <w:r w:rsidR="00ED005B" w:rsidRPr="009830DC">
        <w:t xml:space="preserve">price benchmark receive </w:t>
      </w:r>
      <w:r w:rsidRPr="009830DC">
        <w:t>increasingly reduced scores.  A tender sum 25% below or above the benchmark receives a score of 0.</w:t>
      </w:r>
      <w:r w:rsidR="00A27054">
        <w:br/>
      </w:r>
    </w:p>
    <w:p w:rsidR="00A27054" w:rsidRDefault="00A27054">
      <w:pPr>
        <w:rPr>
          <w:b w:val="0"/>
          <w:bCs/>
          <w:sz w:val="22"/>
        </w:rPr>
      </w:pPr>
      <w:r>
        <w:br w:type="page"/>
      </w:r>
    </w:p>
    <w:p w:rsidR="00C126A9" w:rsidRPr="009830DC" w:rsidRDefault="00C126A9" w:rsidP="00C126A9">
      <w:pPr>
        <w:pStyle w:val="DocumentConten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16"/>
        <w:gridCol w:w="3117"/>
        <w:gridCol w:w="3117"/>
      </w:tblGrid>
      <w:tr w:rsidR="00C126A9" w:rsidRPr="009830DC" w:rsidTr="00587678">
        <w:trPr>
          <w:tblHeader/>
          <w:jc w:val="center"/>
        </w:trPr>
        <w:tc>
          <w:tcPr>
            <w:tcW w:w="3116" w:type="dxa"/>
            <w:shd w:val="clear" w:color="auto" w:fill="BEB97E"/>
          </w:tcPr>
          <w:p w:rsidR="00C126A9" w:rsidRPr="009830DC" w:rsidRDefault="00C126A9" w:rsidP="00D45B01">
            <w:pPr>
              <w:pStyle w:val="TableContent"/>
              <w:jc w:val="center"/>
              <w:rPr>
                <w:b/>
                <w:bCs/>
              </w:rPr>
            </w:pPr>
            <w:r w:rsidRPr="009830DC">
              <w:rPr>
                <w:b/>
                <w:bCs/>
              </w:rPr>
              <w:br w:type="page"/>
              <w:t xml:space="preserve">Range of scores </w:t>
            </w:r>
            <w:r w:rsidR="00ED005B" w:rsidRPr="009830DC">
              <w:rPr>
                <w:b/>
                <w:bCs/>
              </w:rPr>
              <w:br/>
            </w:r>
            <w:r w:rsidRPr="009830DC">
              <w:rPr>
                <w:bCs/>
                <w:sz w:val="16"/>
                <w:szCs w:val="16"/>
              </w:rPr>
              <w:t>(Sliding score to 2 decimal points)</w:t>
            </w:r>
          </w:p>
        </w:tc>
        <w:tc>
          <w:tcPr>
            <w:tcW w:w="3117" w:type="dxa"/>
            <w:shd w:val="clear" w:color="auto" w:fill="BEB97E"/>
          </w:tcPr>
          <w:p w:rsidR="00C126A9" w:rsidRPr="009830DC" w:rsidRDefault="00C126A9" w:rsidP="00D45B01">
            <w:pPr>
              <w:pStyle w:val="TableContent"/>
              <w:jc w:val="center"/>
              <w:rPr>
                <w:b/>
                <w:bCs/>
              </w:rPr>
            </w:pPr>
            <w:r w:rsidRPr="009830DC">
              <w:rPr>
                <w:b/>
                <w:bCs/>
              </w:rPr>
              <w:t xml:space="preserve">% </w:t>
            </w:r>
            <w:r w:rsidR="00D45B01" w:rsidRPr="009830DC">
              <w:rPr>
                <w:b/>
                <w:bCs/>
              </w:rPr>
              <w:t>B</w:t>
            </w:r>
            <w:r w:rsidRPr="009830DC">
              <w:rPr>
                <w:b/>
                <w:bCs/>
              </w:rPr>
              <w:t xml:space="preserve">elow </w:t>
            </w:r>
            <w:r w:rsidR="00D45B01" w:rsidRPr="009830DC">
              <w:rPr>
                <w:b/>
                <w:bCs/>
              </w:rPr>
              <w:br/>
            </w:r>
            <w:r w:rsidRPr="009830DC">
              <w:rPr>
                <w:b/>
                <w:bCs/>
              </w:rPr>
              <w:t>Price Benchmark</w:t>
            </w:r>
          </w:p>
        </w:tc>
        <w:tc>
          <w:tcPr>
            <w:tcW w:w="3117" w:type="dxa"/>
            <w:shd w:val="clear" w:color="auto" w:fill="BEB97E"/>
          </w:tcPr>
          <w:p w:rsidR="00C126A9" w:rsidRPr="009830DC" w:rsidRDefault="00C126A9" w:rsidP="00D45B01">
            <w:pPr>
              <w:pStyle w:val="TableContent"/>
              <w:jc w:val="center"/>
              <w:rPr>
                <w:b/>
                <w:bCs/>
              </w:rPr>
            </w:pPr>
            <w:r w:rsidRPr="009830DC">
              <w:rPr>
                <w:b/>
                <w:bCs/>
              </w:rPr>
              <w:t xml:space="preserve">% </w:t>
            </w:r>
            <w:r w:rsidR="00D45B01" w:rsidRPr="009830DC">
              <w:rPr>
                <w:b/>
                <w:bCs/>
              </w:rPr>
              <w:t>A</w:t>
            </w:r>
            <w:r w:rsidRPr="009830DC">
              <w:rPr>
                <w:b/>
                <w:bCs/>
              </w:rPr>
              <w:t xml:space="preserve">bove </w:t>
            </w:r>
            <w:r w:rsidR="00D45B01" w:rsidRPr="009830DC">
              <w:rPr>
                <w:b/>
                <w:bCs/>
              </w:rPr>
              <w:br/>
            </w:r>
            <w:r w:rsidRPr="009830DC">
              <w:rPr>
                <w:b/>
                <w:bCs/>
              </w:rPr>
              <w:t>Price Benchmark</w:t>
            </w:r>
          </w:p>
        </w:tc>
      </w:tr>
      <w:tr w:rsidR="00C126A9" w:rsidRPr="009830DC" w:rsidTr="00F03B35">
        <w:trPr>
          <w:jc w:val="center"/>
        </w:trPr>
        <w:tc>
          <w:tcPr>
            <w:tcW w:w="3116" w:type="dxa"/>
          </w:tcPr>
          <w:p w:rsidR="00C126A9" w:rsidRPr="009830DC" w:rsidRDefault="00C126A9" w:rsidP="00D45B01">
            <w:pPr>
              <w:pStyle w:val="TableContent"/>
              <w:jc w:val="center"/>
            </w:pPr>
            <w:r w:rsidRPr="009830DC">
              <w:t>10 points</w:t>
            </w:r>
          </w:p>
        </w:tc>
        <w:tc>
          <w:tcPr>
            <w:tcW w:w="3117" w:type="dxa"/>
          </w:tcPr>
          <w:p w:rsidR="00C126A9" w:rsidRPr="009830DC" w:rsidRDefault="00C126A9" w:rsidP="00D45B01">
            <w:pPr>
              <w:pStyle w:val="TableContent"/>
              <w:jc w:val="center"/>
            </w:pPr>
            <w:r w:rsidRPr="009830DC">
              <w:t>0-5%</w:t>
            </w:r>
          </w:p>
        </w:tc>
        <w:tc>
          <w:tcPr>
            <w:tcW w:w="3117" w:type="dxa"/>
          </w:tcPr>
          <w:p w:rsidR="00C126A9" w:rsidRPr="009830DC" w:rsidRDefault="00C126A9" w:rsidP="00D45B01">
            <w:pPr>
              <w:pStyle w:val="TableContent"/>
              <w:jc w:val="center"/>
            </w:pPr>
            <w:r w:rsidRPr="009830DC">
              <w:t>0-5%</w:t>
            </w:r>
          </w:p>
        </w:tc>
      </w:tr>
      <w:tr w:rsidR="00C126A9" w:rsidRPr="009830DC" w:rsidTr="00F03B35">
        <w:trPr>
          <w:jc w:val="center"/>
        </w:trPr>
        <w:tc>
          <w:tcPr>
            <w:tcW w:w="3116" w:type="dxa"/>
          </w:tcPr>
          <w:p w:rsidR="00C126A9" w:rsidRPr="009830DC" w:rsidRDefault="00E52DB4" w:rsidP="00D45B01">
            <w:pPr>
              <w:pStyle w:val="TableContent"/>
              <w:jc w:val="center"/>
            </w:pPr>
            <w:r w:rsidRPr="009830DC">
              <w:t>Up to 10</w:t>
            </w:r>
            <w:r w:rsidR="00C126A9" w:rsidRPr="009830DC">
              <w:t xml:space="preserve"> points</w:t>
            </w:r>
          </w:p>
        </w:tc>
        <w:tc>
          <w:tcPr>
            <w:tcW w:w="3117" w:type="dxa"/>
          </w:tcPr>
          <w:p w:rsidR="00C126A9" w:rsidRPr="009830DC" w:rsidRDefault="00C126A9" w:rsidP="00D45B01">
            <w:pPr>
              <w:pStyle w:val="TableContent"/>
              <w:jc w:val="center"/>
            </w:pPr>
            <w:r w:rsidRPr="009830DC">
              <w:t>5-10%</w:t>
            </w:r>
          </w:p>
        </w:tc>
        <w:tc>
          <w:tcPr>
            <w:tcW w:w="3117" w:type="dxa"/>
          </w:tcPr>
          <w:p w:rsidR="00C126A9" w:rsidRPr="009830DC" w:rsidRDefault="00C126A9" w:rsidP="00D45B01">
            <w:pPr>
              <w:pStyle w:val="TableContent"/>
              <w:jc w:val="center"/>
            </w:pPr>
            <w:r w:rsidRPr="009830DC">
              <w:t>5</w:t>
            </w:r>
            <w:r w:rsidR="00D45B01" w:rsidRPr="009830DC">
              <w:t>-</w:t>
            </w:r>
            <w:r w:rsidRPr="009830DC">
              <w:t>10%</w:t>
            </w:r>
          </w:p>
        </w:tc>
      </w:tr>
      <w:tr w:rsidR="00C126A9" w:rsidRPr="009830DC" w:rsidTr="00F03B35">
        <w:trPr>
          <w:jc w:val="center"/>
        </w:trPr>
        <w:tc>
          <w:tcPr>
            <w:tcW w:w="3116" w:type="dxa"/>
          </w:tcPr>
          <w:p w:rsidR="00C126A9" w:rsidRPr="009830DC" w:rsidRDefault="00E52DB4" w:rsidP="00D45B01">
            <w:pPr>
              <w:pStyle w:val="TableContent"/>
              <w:jc w:val="center"/>
            </w:pPr>
            <w:r w:rsidRPr="009830DC">
              <w:t>Up to 9</w:t>
            </w:r>
            <w:r w:rsidR="00C126A9" w:rsidRPr="009830DC">
              <w:t xml:space="preserve"> points</w:t>
            </w:r>
          </w:p>
        </w:tc>
        <w:tc>
          <w:tcPr>
            <w:tcW w:w="3117" w:type="dxa"/>
          </w:tcPr>
          <w:p w:rsidR="00C126A9" w:rsidRPr="009830DC" w:rsidRDefault="00C126A9" w:rsidP="00D45B01">
            <w:pPr>
              <w:pStyle w:val="TableContent"/>
              <w:jc w:val="center"/>
            </w:pPr>
            <w:r w:rsidRPr="009830DC">
              <w:t>10</w:t>
            </w:r>
            <w:r w:rsidR="00D45B01" w:rsidRPr="009830DC">
              <w:t>-</w:t>
            </w:r>
            <w:r w:rsidRPr="009830DC">
              <w:t>15%</w:t>
            </w:r>
          </w:p>
        </w:tc>
        <w:tc>
          <w:tcPr>
            <w:tcW w:w="3117" w:type="dxa"/>
          </w:tcPr>
          <w:p w:rsidR="00C126A9" w:rsidRPr="009830DC" w:rsidRDefault="00C126A9" w:rsidP="00D45B01">
            <w:pPr>
              <w:pStyle w:val="TableContent"/>
              <w:jc w:val="center"/>
            </w:pPr>
            <w:r w:rsidRPr="009830DC">
              <w:t>10</w:t>
            </w:r>
            <w:r w:rsidR="00D45B01" w:rsidRPr="009830DC">
              <w:t>-</w:t>
            </w:r>
            <w:r w:rsidRPr="009830DC">
              <w:t>15%</w:t>
            </w:r>
          </w:p>
        </w:tc>
      </w:tr>
      <w:tr w:rsidR="00C126A9" w:rsidRPr="009830DC" w:rsidTr="00F03B35">
        <w:trPr>
          <w:jc w:val="center"/>
        </w:trPr>
        <w:tc>
          <w:tcPr>
            <w:tcW w:w="3116" w:type="dxa"/>
          </w:tcPr>
          <w:p w:rsidR="00C126A9" w:rsidRPr="009830DC" w:rsidRDefault="00E52DB4" w:rsidP="00D45B01">
            <w:pPr>
              <w:pStyle w:val="TableContent"/>
              <w:jc w:val="center"/>
            </w:pPr>
            <w:r w:rsidRPr="009830DC">
              <w:t>Up to 6</w:t>
            </w:r>
            <w:r w:rsidR="00C126A9" w:rsidRPr="009830DC">
              <w:t xml:space="preserve"> points</w:t>
            </w:r>
          </w:p>
        </w:tc>
        <w:tc>
          <w:tcPr>
            <w:tcW w:w="3117" w:type="dxa"/>
          </w:tcPr>
          <w:p w:rsidR="00C126A9" w:rsidRPr="009830DC" w:rsidRDefault="00C126A9" w:rsidP="00D45B01">
            <w:pPr>
              <w:pStyle w:val="TableContent"/>
              <w:jc w:val="center"/>
            </w:pPr>
            <w:r w:rsidRPr="009830DC">
              <w:t>15</w:t>
            </w:r>
            <w:r w:rsidR="00D45B01" w:rsidRPr="009830DC">
              <w:t>-</w:t>
            </w:r>
            <w:r w:rsidRPr="009830DC">
              <w:t>20%</w:t>
            </w:r>
          </w:p>
        </w:tc>
        <w:tc>
          <w:tcPr>
            <w:tcW w:w="3117" w:type="dxa"/>
          </w:tcPr>
          <w:p w:rsidR="00C126A9" w:rsidRPr="009830DC" w:rsidRDefault="00C126A9" w:rsidP="00D45B01">
            <w:pPr>
              <w:pStyle w:val="TableContent"/>
              <w:jc w:val="center"/>
            </w:pPr>
            <w:r w:rsidRPr="009830DC">
              <w:t>15</w:t>
            </w:r>
            <w:r w:rsidR="00D45B01" w:rsidRPr="009830DC">
              <w:t>-</w:t>
            </w:r>
            <w:r w:rsidRPr="009830DC">
              <w:t>20%</w:t>
            </w:r>
          </w:p>
        </w:tc>
      </w:tr>
      <w:tr w:rsidR="00C126A9" w:rsidRPr="009830DC" w:rsidTr="00F03B35">
        <w:trPr>
          <w:jc w:val="center"/>
        </w:trPr>
        <w:tc>
          <w:tcPr>
            <w:tcW w:w="3116" w:type="dxa"/>
          </w:tcPr>
          <w:p w:rsidR="00C126A9" w:rsidRPr="009830DC" w:rsidRDefault="00E52DB4" w:rsidP="00D45B01">
            <w:pPr>
              <w:pStyle w:val="TableContent"/>
              <w:jc w:val="center"/>
            </w:pPr>
            <w:r w:rsidRPr="009830DC">
              <w:t>Up to 3</w:t>
            </w:r>
            <w:r w:rsidR="00C126A9" w:rsidRPr="009830DC">
              <w:t xml:space="preserve"> points</w:t>
            </w:r>
          </w:p>
        </w:tc>
        <w:tc>
          <w:tcPr>
            <w:tcW w:w="3117" w:type="dxa"/>
          </w:tcPr>
          <w:p w:rsidR="00C126A9" w:rsidRPr="009830DC" w:rsidRDefault="00C126A9" w:rsidP="00D45B01">
            <w:pPr>
              <w:pStyle w:val="TableContent"/>
              <w:jc w:val="center"/>
            </w:pPr>
            <w:r w:rsidRPr="009830DC">
              <w:t>20</w:t>
            </w:r>
            <w:r w:rsidR="00D45B01" w:rsidRPr="009830DC">
              <w:t>-</w:t>
            </w:r>
            <w:r w:rsidRPr="009830DC">
              <w:t>25%</w:t>
            </w:r>
          </w:p>
        </w:tc>
        <w:tc>
          <w:tcPr>
            <w:tcW w:w="3117" w:type="dxa"/>
          </w:tcPr>
          <w:p w:rsidR="00C126A9" w:rsidRPr="009830DC" w:rsidRDefault="00D45B01" w:rsidP="00D45B01">
            <w:pPr>
              <w:pStyle w:val="TableContent"/>
              <w:jc w:val="center"/>
            </w:pPr>
            <w:r w:rsidRPr="009830DC">
              <w:t>20-</w:t>
            </w:r>
            <w:r w:rsidR="00C126A9" w:rsidRPr="009830DC">
              <w:t>25%</w:t>
            </w:r>
          </w:p>
        </w:tc>
      </w:tr>
      <w:tr w:rsidR="00C126A9" w:rsidRPr="009830DC" w:rsidTr="00F03B35">
        <w:trPr>
          <w:jc w:val="center"/>
        </w:trPr>
        <w:tc>
          <w:tcPr>
            <w:tcW w:w="3116" w:type="dxa"/>
          </w:tcPr>
          <w:p w:rsidR="00C126A9" w:rsidRPr="009830DC" w:rsidRDefault="00C126A9" w:rsidP="00D45B01">
            <w:pPr>
              <w:pStyle w:val="TableContent"/>
              <w:jc w:val="center"/>
            </w:pPr>
            <w:r w:rsidRPr="009830DC">
              <w:t>0 points</w:t>
            </w:r>
          </w:p>
        </w:tc>
        <w:tc>
          <w:tcPr>
            <w:tcW w:w="3117" w:type="dxa"/>
          </w:tcPr>
          <w:p w:rsidR="00C126A9" w:rsidRPr="009830DC" w:rsidRDefault="00C126A9" w:rsidP="00D45B01">
            <w:pPr>
              <w:pStyle w:val="TableContent"/>
              <w:jc w:val="center"/>
            </w:pPr>
            <w:r w:rsidRPr="009830DC">
              <w:t>&gt;25%</w:t>
            </w:r>
          </w:p>
        </w:tc>
        <w:tc>
          <w:tcPr>
            <w:tcW w:w="3117" w:type="dxa"/>
          </w:tcPr>
          <w:p w:rsidR="00C126A9" w:rsidRPr="009830DC" w:rsidRDefault="00C126A9" w:rsidP="00D45B01">
            <w:pPr>
              <w:pStyle w:val="TableContent"/>
              <w:jc w:val="center"/>
            </w:pPr>
            <w:r w:rsidRPr="009830DC">
              <w:t>&gt;25%</w:t>
            </w:r>
          </w:p>
        </w:tc>
      </w:tr>
    </w:tbl>
    <w:p w:rsidR="00C126A9" w:rsidRPr="009830DC" w:rsidRDefault="00C126A9" w:rsidP="00C126A9">
      <w:pPr>
        <w:pStyle w:val="DocumentContent"/>
      </w:pPr>
    </w:p>
    <w:p w:rsidR="00C126A9" w:rsidRPr="009830DC" w:rsidRDefault="00C126A9" w:rsidP="00C126A9">
      <w:pPr>
        <w:pStyle w:val="DocumentContent"/>
      </w:pPr>
      <w:r w:rsidRPr="009830DC">
        <w:t>The matrix then applies the agreed weighting of tender price/price risk to calculate the final weighted score for price.</w:t>
      </w:r>
    </w:p>
    <w:p w:rsidR="00C126A9" w:rsidRPr="009830DC" w:rsidRDefault="00ED005B" w:rsidP="00C126A9">
      <w:pPr>
        <w:pStyle w:val="Heading2"/>
      </w:pPr>
      <w:r w:rsidRPr="009830DC">
        <w:t>Scoring S</w:t>
      </w:r>
      <w:r w:rsidR="00C126A9" w:rsidRPr="009830DC">
        <w:t>ummary</w:t>
      </w:r>
    </w:p>
    <w:p w:rsidR="00C126A9" w:rsidRPr="009830DC" w:rsidRDefault="00C126A9" w:rsidP="00C126A9">
      <w:pPr>
        <w:pStyle w:val="DocumentContent"/>
      </w:pPr>
      <w:r w:rsidRPr="009830DC">
        <w:t xml:space="preserve">The use of </w:t>
      </w:r>
      <w:r w:rsidR="00FF370C">
        <w:t>the Department’s</w:t>
      </w:r>
      <w:r w:rsidRPr="009830DC">
        <w:t xml:space="preserve"> </w:t>
      </w:r>
      <w:r w:rsidR="00ED005B" w:rsidRPr="009830DC">
        <w:t xml:space="preserve">scoring matrices </w:t>
      </w:r>
      <w:r w:rsidRPr="009830DC">
        <w:t>ensures that there is accurate calculation and recording of selection criteria scores.  This is crucial for an accountable and transparent tender evaluation process.</w:t>
      </w:r>
    </w:p>
    <w:p w:rsidR="00C126A9" w:rsidRPr="009830DC" w:rsidRDefault="00C126A9" w:rsidP="00C126A9">
      <w:pPr>
        <w:pStyle w:val="DocumentContent"/>
      </w:pPr>
      <w:r w:rsidRPr="009830DC">
        <w:t xml:space="preserve">The output from </w:t>
      </w:r>
      <w:r w:rsidR="00ED005B" w:rsidRPr="009830DC">
        <w:t xml:space="preserve">the scoring matrix at the completion </w:t>
      </w:r>
      <w:r w:rsidRPr="009830DC">
        <w:t>of the process is a weighted score (out of 100) for each tender.  The highest score generally represents the tender that is best overall value for money and the preferred tender.</w:t>
      </w:r>
    </w:p>
    <w:p w:rsidR="00C126A9" w:rsidRPr="009830DC" w:rsidRDefault="00C126A9" w:rsidP="00C126A9">
      <w:pPr>
        <w:pStyle w:val="DocumentContent"/>
      </w:pPr>
      <w:r w:rsidRPr="009830DC">
        <w:t>The tender evaluation panel considers the results of the evaluation and scoring</w:t>
      </w:r>
      <w:r w:rsidR="00ED005B" w:rsidRPr="009830DC">
        <w:t>,</w:t>
      </w:r>
      <w:r w:rsidRPr="009830DC">
        <w:t xml:space="preserve"> all information submitted, the project context and risks and any other information which contributes to a final judgement on best value and determines the initially preferred tender.</w:t>
      </w:r>
    </w:p>
    <w:p w:rsidR="00C126A9" w:rsidRPr="009830DC" w:rsidRDefault="00C126A9" w:rsidP="00C126A9">
      <w:pPr>
        <w:pStyle w:val="DocumentContent"/>
      </w:pPr>
      <w:r w:rsidRPr="009830DC">
        <w:t>For example</w:t>
      </w:r>
      <w:r w:rsidR="00ED005B" w:rsidRPr="009830DC">
        <w:t>,</w:t>
      </w:r>
      <w:r w:rsidRPr="009830DC">
        <w:t xml:space="preserve"> if the tender with the highest score is the lowest price within acceptable benchmarks, then this would be judged as excellent value.  If the tender with the highest score also </w:t>
      </w:r>
      <w:r w:rsidR="00027471" w:rsidRPr="009830DC">
        <w:t>ha</w:t>
      </w:r>
      <w:r w:rsidRPr="009830DC">
        <w:t>s a significantly higher price, a judgement will be made as to whether it still represents best value compared with a lower scoring/lower price tender.  If the panel determines that the highest score tender represents value the tender is the initially preferred tender.</w:t>
      </w:r>
    </w:p>
    <w:p w:rsidR="00C126A9" w:rsidRPr="009830DC" w:rsidRDefault="00C126A9" w:rsidP="00C126A9">
      <w:pPr>
        <w:pStyle w:val="Heading1"/>
      </w:pPr>
      <w:r w:rsidRPr="009830DC">
        <w:t xml:space="preserve">Recommendation of </w:t>
      </w:r>
      <w:r w:rsidR="00ED005B" w:rsidRPr="009830DC">
        <w:t>P</w:t>
      </w:r>
      <w:r w:rsidRPr="009830DC">
        <w:t xml:space="preserve">referred </w:t>
      </w:r>
      <w:r w:rsidR="00ED005B" w:rsidRPr="009830DC">
        <w:t>T</w:t>
      </w:r>
      <w:r w:rsidRPr="009830DC">
        <w:t>enderer</w:t>
      </w:r>
    </w:p>
    <w:p w:rsidR="00C126A9" w:rsidRPr="009830DC" w:rsidRDefault="00C126A9" w:rsidP="00C126A9">
      <w:pPr>
        <w:pStyle w:val="DocumentContent"/>
      </w:pPr>
      <w:r w:rsidRPr="009830DC">
        <w:t xml:space="preserve">The initially preferred tender is then appraised for technical and contractual conformance using </w:t>
      </w:r>
      <w:r w:rsidR="00FF370C">
        <w:t>the Department’s</w:t>
      </w:r>
      <w:r w:rsidRPr="009830DC">
        <w:t xml:space="preserve"> tender evaluation procedures.  In the event that the initially preferred tender does not meet the technical and contractual requirements of the tender documents, the second ranked tenderer will be evaluated in detail.</w:t>
      </w:r>
    </w:p>
    <w:p w:rsidR="00C126A9" w:rsidRPr="009830DC" w:rsidRDefault="00C126A9" w:rsidP="00C126A9">
      <w:pPr>
        <w:pStyle w:val="DocumentContent"/>
      </w:pPr>
      <w:r w:rsidRPr="009830DC">
        <w:t xml:space="preserve">Finally at the completion of the evaluation by the tender evaluation panel, the </w:t>
      </w:r>
      <w:r w:rsidR="00FF370C">
        <w:t>Department’s</w:t>
      </w:r>
      <w:r w:rsidRPr="009830DC">
        <w:t xml:space="preserve"> </w:t>
      </w:r>
      <w:r w:rsidR="00ED005B" w:rsidRPr="009830DC">
        <w:t>project risk manager will prepare a formal recommendation to the appropriate delegate for acceptance of tender.</w:t>
      </w:r>
    </w:p>
    <w:p w:rsidR="00C126A9" w:rsidRPr="009830DC" w:rsidRDefault="00C126A9" w:rsidP="00C126A9">
      <w:pPr>
        <w:pStyle w:val="Heading1"/>
      </w:pPr>
      <w:bookmarkStart w:id="12" w:name="_Toc528496942"/>
      <w:r w:rsidRPr="009830DC">
        <w:t xml:space="preserve">Monitoring </w:t>
      </w:r>
      <w:r w:rsidR="00ED005B" w:rsidRPr="009830DC">
        <w:t>C</w:t>
      </w:r>
      <w:r w:rsidRPr="009830DC">
        <w:t xml:space="preserve">ommitments made in </w:t>
      </w:r>
      <w:r w:rsidR="00ED005B" w:rsidRPr="009830DC">
        <w:t>R</w:t>
      </w:r>
      <w:r w:rsidRPr="009830DC">
        <w:t xml:space="preserve">esponse to </w:t>
      </w:r>
      <w:r w:rsidR="00B831AC" w:rsidRPr="009830DC">
        <w:t>Services</w:t>
      </w:r>
      <w:r w:rsidRPr="009830DC">
        <w:t xml:space="preserve"> </w:t>
      </w:r>
      <w:r w:rsidR="00ED005B" w:rsidRPr="009830DC">
        <w:t>C</w:t>
      </w:r>
      <w:r w:rsidRPr="009830DC">
        <w:t>riteria</w:t>
      </w:r>
      <w:bookmarkEnd w:id="12"/>
    </w:p>
    <w:p w:rsidR="00C126A9" w:rsidRPr="009830DC" w:rsidRDefault="00C126A9" w:rsidP="00C126A9">
      <w:pPr>
        <w:pStyle w:val="DocumentContent"/>
      </w:pPr>
      <w:r w:rsidRPr="009830DC">
        <w:t xml:space="preserve">The responses to </w:t>
      </w:r>
      <w:r w:rsidR="00B831AC" w:rsidRPr="009830DC">
        <w:t>services criteria</w:t>
      </w:r>
      <w:r w:rsidRPr="009830DC">
        <w:t xml:space="preserve"> from the successful tenderer will, in many cases, be proposing a course of action throughout the contract with stated outcomes.  These proposals and commitments are important to the success of the project and need to be adequately monitored.</w:t>
      </w:r>
    </w:p>
    <w:p w:rsidR="00C126A9" w:rsidRPr="009830DC" w:rsidRDefault="00C126A9" w:rsidP="00C126A9">
      <w:pPr>
        <w:pStyle w:val="DocumentContent"/>
      </w:pPr>
      <w:r w:rsidRPr="009830DC">
        <w:lastRenderedPageBreak/>
        <w:t xml:space="preserve">Monitoring can only be effective if tenderers are made aware that compliance is an integral part of </w:t>
      </w:r>
      <w:r w:rsidR="00B831AC" w:rsidRPr="009830DC">
        <w:t>services criteria</w:t>
      </w:r>
      <w:r w:rsidRPr="009830DC">
        <w:t xml:space="preserve">.  The importance of monitoring </w:t>
      </w:r>
      <w:r w:rsidR="00B831AC" w:rsidRPr="009830DC">
        <w:t>service criteria</w:t>
      </w:r>
      <w:r w:rsidRPr="009830DC">
        <w:t xml:space="preserve"> compliance is communicated to tenderers in the tender documents.  A compliance system may be stipulated through the contract.</w:t>
      </w:r>
    </w:p>
    <w:p w:rsidR="00C126A9" w:rsidRDefault="00C126A9" w:rsidP="00C126A9">
      <w:pPr>
        <w:pStyle w:val="DocumentContent"/>
      </w:pPr>
      <w:r w:rsidRPr="009830DC">
        <w:t xml:space="preserve">Failure by a contractor to follow through with tender commitments made against </w:t>
      </w:r>
      <w:r w:rsidR="00B831AC" w:rsidRPr="009830DC">
        <w:t>services criteria</w:t>
      </w:r>
      <w:r w:rsidRPr="009830DC">
        <w:t xml:space="preserve"> may be identified and reported through the Prequalification System performance reporting process.</w:t>
      </w:r>
    </w:p>
    <w:p w:rsidR="00932F17" w:rsidRPr="00B27AB6" w:rsidRDefault="00F03B35" w:rsidP="00B27AB6">
      <w:pPr>
        <w:pStyle w:val="DocumentContent"/>
        <w:widowControl w:val="0"/>
        <w:tabs>
          <w:tab w:val="left" w:pos="1122"/>
          <w:tab w:val="left" w:pos="5103"/>
          <w:tab w:val="left" w:pos="6237"/>
        </w:tabs>
        <w:spacing w:after="0"/>
        <w:rPr>
          <w:color w:val="000080"/>
          <w:szCs w:val="22"/>
          <w:lang w:val="en-US"/>
        </w:rPr>
      </w:pPr>
      <w:r>
        <w:rPr>
          <w:szCs w:val="22"/>
        </w:rPr>
        <w:br/>
      </w:r>
    </w:p>
    <w:sectPr w:rsidR="00932F17" w:rsidRPr="00B27AB6" w:rsidSect="00BF686D">
      <w:headerReference w:type="default" r:id="rId9"/>
      <w:footerReference w:type="default" r:id="rId10"/>
      <w:headerReference w:type="first" r:id="rId11"/>
      <w:footerReference w:type="first" r:id="rId12"/>
      <w:pgSz w:w="11907" w:h="16840" w:code="9"/>
      <w:pgMar w:top="1522" w:right="1435" w:bottom="1522" w:left="1134" w:header="720" w:footer="7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2B" w:rsidRDefault="009C472B">
      <w:r>
        <w:separator/>
      </w:r>
    </w:p>
  </w:endnote>
  <w:endnote w:type="continuationSeparator" w:id="0">
    <w:p w:rsidR="009C472B" w:rsidRDefault="009C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F9" w:rsidRDefault="00DA7873" w:rsidP="003C2E4B">
    <w:pPr>
      <w:pStyle w:val="Footer"/>
      <w:tabs>
        <w:tab w:val="clear" w:pos="4153"/>
        <w:tab w:val="clear" w:pos="8306"/>
      </w:tabs>
      <w:jc w:val="right"/>
    </w:pPr>
    <w:r>
      <w:rPr>
        <w:lang w:eastAsia="en-AU"/>
      </w:rPr>
      <mc:AlternateContent>
        <mc:Choice Requires="wps">
          <w:drawing>
            <wp:anchor distT="0" distB="0" distL="114300" distR="114300" simplePos="0" relativeHeight="251658752" behindDoc="0" locked="0" layoutInCell="1" allowOverlap="1" wp14:anchorId="0A328DF3" wp14:editId="507C613E">
              <wp:simplePos x="0" y="0"/>
              <wp:positionH relativeFrom="column">
                <wp:posOffset>-5715</wp:posOffset>
              </wp:positionH>
              <wp:positionV relativeFrom="paragraph">
                <wp:posOffset>-204470</wp:posOffset>
              </wp:positionV>
              <wp:extent cx="6845935"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CE652" id="_x0000_t32" coordsize="21600,21600" o:spt="32" o:oned="t" path="m,l21600,21600e" filled="f">
              <v:path arrowok="t" fillok="f" o:connecttype="none"/>
              <o:lock v:ext="edit" shapetype="t"/>
            </v:shapetype>
            <v:shape id="AutoShape 18" o:spid="_x0000_s1026" type="#_x0000_t32" style="position:absolute;margin-left:-.45pt;margin-top:-16.1pt;width:539.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9M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" strokeweight="1pt"/>
          </w:pict>
        </mc:Fallback>
      </mc:AlternateContent>
    </w:r>
    <w:r w:rsidR="008058F9">
      <w:rPr>
        <w:sz w:val="14"/>
      </w:rPr>
      <w:tab/>
    </w:r>
    <w:r w:rsidR="008058F9">
      <w:rPr>
        <w:snapToGrid w:val="0"/>
      </w:rPr>
      <w:t xml:space="preserve">Page </w:t>
    </w:r>
    <w:r w:rsidR="008058F9">
      <w:rPr>
        <w:snapToGrid w:val="0"/>
      </w:rPr>
      <w:fldChar w:fldCharType="begin"/>
    </w:r>
    <w:r w:rsidR="008058F9">
      <w:rPr>
        <w:snapToGrid w:val="0"/>
      </w:rPr>
      <w:instrText xml:space="preserve"> PAGE </w:instrText>
    </w:r>
    <w:r w:rsidR="008058F9">
      <w:rPr>
        <w:snapToGrid w:val="0"/>
      </w:rPr>
      <w:fldChar w:fldCharType="separate"/>
    </w:r>
    <w:r w:rsidR="001D3C7C">
      <w:rPr>
        <w:snapToGrid w:val="0"/>
      </w:rPr>
      <w:t>5</w:t>
    </w:r>
    <w:r w:rsidR="008058F9">
      <w:rPr>
        <w:snapToGrid w:val="0"/>
      </w:rPr>
      <w:fldChar w:fldCharType="end"/>
    </w:r>
    <w:r w:rsidR="008058F9">
      <w:rPr>
        <w:snapToGrid w:val="0"/>
      </w:rPr>
      <w:t xml:space="preserve"> of </w:t>
    </w:r>
    <w:r w:rsidR="008058F9">
      <w:rPr>
        <w:snapToGrid w:val="0"/>
      </w:rPr>
      <w:fldChar w:fldCharType="begin"/>
    </w:r>
    <w:r w:rsidR="008058F9">
      <w:rPr>
        <w:snapToGrid w:val="0"/>
      </w:rPr>
      <w:instrText xml:space="preserve"> NUMPAGES </w:instrText>
    </w:r>
    <w:r w:rsidR="008058F9">
      <w:rPr>
        <w:snapToGrid w:val="0"/>
      </w:rPr>
      <w:fldChar w:fldCharType="separate"/>
    </w:r>
    <w:r w:rsidR="001D3C7C">
      <w:rPr>
        <w:snapToGrid w:val="0"/>
      </w:rPr>
      <w:t>9</w:t>
    </w:r>
    <w:r w:rsidR="008058F9">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F9" w:rsidRDefault="00DA7873">
    <w:pPr>
      <w:pStyle w:val="Footer"/>
    </w:pPr>
    <w:r>
      <w:rPr>
        <w:lang w:eastAsia="en-AU"/>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-125730</wp:posOffset>
              </wp:positionV>
              <wp:extent cx="6845935"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238390" id="_x0000_t32" coordsize="21600,21600" o:spt="32" o:oned="t" path="m,l21600,21600e" filled="f">
              <v:path arrowok="t" fillok="f" o:connecttype="none"/>
              <o:lock v:ext="edit" shapetype="t"/>
            </v:shapetype>
            <v:shape id="AutoShape 16" o:spid="_x0000_s1026" type="#_x0000_t32" style="position:absolute;margin-left:.3pt;margin-top:-9.9pt;width:539.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o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" strokeweight="1pt"/>
          </w:pict>
        </mc:Fallback>
      </mc:AlternateContent>
    </w:r>
    <w:r w:rsidR="006C7B3B">
      <w:rPr>
        <w:snapToGrid w:val="0"/>
      </w:rPr>
      <w:t xml:space="preserve">Revision </w:t>
    </w:r>
    <w:r w:rsidR="009830DC">
      <w:rPr>
        <w:snapToGrid w:val="0"/>
      </w:rPr>
      <w:t xml:space="preserve">2 August </w:t>
    </w:r>
    <w:r w:rsidR="006C7B3B">
      <w:rPr>
        <w:snapToGrid w:val="0"/>
      </w:rPr>
      <w:t>2016</w:t>
    </w:r>
    <w:r w:rsidR="001F1786">
      <w:rPr>
        <w:snapToGrid w:val="0"/>
      </w:rPr>
      <w:tab/>
    </w:r>
    <w:r w:rsidR="001F1786">
      <w:rPr>
        <w:snapToGrid w:val="0"/>
      </w:rPr>
      <w:tab/>
      <w:t xml:space="preserve">Page </w:t>
    </w:r>
    <w:r w:rsidR="001F1786">
      <w:rPr>
        <w:snapToGrid w:val="0"/>
      </w:rPr>
      <w:fldChar w:fldCharType="begin"/>
    </w:r>
    <w:r w:rsidR="001F1786">
      <w:rPr>
        <w:snapToGrid w:val="0"/>
      </w:rPr>
      <w:instrText xml:space="preserve"> PAGE </w:instrText>
    </w:r>
    <w:r w:rsidR="001F1786">
      <w:rPr>
        <w:snapToGrid w:val="0"/>
      </w:rPr>
      <w:fldChar w:fldCharType="separate"/>
    </w:r>
    <w:r w:rsidR="001D3C7C">
      <w:rPr>
        <w:snapToGrid w:val="0"/>
      </w:rPr>
      <w:t>1</w:t>
    </w:r>
    <w:r w:rsidR="001F1786">
      <w:rPr>
        <w:snapToGrid w:val="0"/>
      </w:rPr>
      <w:fldChar w:fldCharType="end"/>
    </w:r>
    <w:r w:rsidR="001F1786">
      <w:rPr>
        <w:snapToGrid w:val="0"/>
      </w:rPr>
      <w:t xml:space="preserve"> of </w:t>
    </w:r>
    <w:r w:rsidR="001F1786">
      <w:rPr>
        <w:snapToGrid w:val="0"/>
      </w:rPr>
      <w:fldChar w:fldCharType="begin"/>
    </w:r>
    <w:r w:rsidR="001F1786">
      <w:rPr>
        <w:snapToGrid w:val="0"/>
      </w:rPr>
      <w:instrText xml:space="preserve"> NUMPAGES </w:instrText>
    </w:r>
    <w:r w:rsidR="001F1786">
      <w:rPr>
        <w:snapToGrid w:val="0"/>
      </w:rPr>
      <w:fldChar w:fldCharType="separate"/>
    </w:r>
    <w:r w:rsidR="001D3C7C">
      <w:rPr>
        <w:snapToGrid w:val="0"/>
      </w:rPr>
      <w:t>9</w:t>
    </w:r>
    <w:r w:rsidR="001F1786">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2B" w:rsidRDefault="009C472B">
      <w:r>
        <w:separator/>
      </w:r>
    </w:p>
  </w:footnote>
  <w:footnote w:type="continuationSeparator" w:id="0">
    <w:p w:rsidR="009C472B" w:rsidRDefault="009C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F9" w:rsidRDefault="00DA7873">
    <w:pPr>
      <w:pStyle w:val="Header"/>
    </w:pPr>
    <w:r>
      <w:rPr>
        <w:lang w:eastAsia="en-AU"/>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449580</wp:posOffset>
              </wp:positionV>
              <wp:extent cx="6845935" cy="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9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27561" id="_x0000_t32" coordsize="21600,21600" o:spt="32" o:oned="t" path="m,l21600,21600e" filled="f">
              <v:path arrowok="t" fillok="f" o:connecttype="none"/>
              <o:lock v:ext="edit" shapetype="t"/>
            </v:shapetype>
            <v:shape id="AutoShape 17" o:spid="_x0000_s1026" type="#_x0000_t32" style="position:absolute;margin-left:-.45pt;margin-top:35.4pt;width:539.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pK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" strokeweight="1pt"/>
          </w:pict>
        </mc:Fallback>
      </mc:AlternateContent>
    </w:r>
    <w:r w:rsidR="008058F9">
      <w:t>Value Selection of Construction Tenders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F9" w:rsidRPr="00594191" w:rsidRDefault="00FF370C" w:rsidP="00FF370C">
    <w:pPr>
      <w:pStyle w:val="Header"/>
      <w:jc w:val="right"/>
      <w:rPr>
        <w:i/>
      </w:rPr>
    </w:pPr>
    <w:r w:rsidRPr="00A646D1">
      <w:rPr>
        <w:lang w:eastAsia="en-AU"/>
      </w:rPr>
      <w:drawing>
        <wp:inline distT="0" distB="0" distL="0" distR="0" wp14:anchorId="6A577D52" wp14:editId="396F9FA9">
          <wp:extent cx="2361016" cy="666750"/>
          <wp:effectExtent l="0" t="0" r="0" b="0"/>
          <wp:docPr id="5" name="Picture 5" descr="Z:\DIT Logo Horizontal 020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IT Logo Horizontal 0209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7712" cy="6799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5C64"/>
    <w:multiLevelType w:val="hybridMultilevel"/>
    <w:tmpl w:val="5CD6E600"/>
    <w:lvl w:ilvl="0" w:tplc="7604071E">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A2F93"/>
    <w:multiLevelType w:val="hybridMultilevel"/>
    <w:tmpl w:val="F740ED62"/>
    <w:lvl w:ilvl="0" w:tplc="82F0BF7A">
      <w:start w:val="1"/>
      <w:numFmt w:val="bullet"/>
      <w:pStyle w:val="BulletedPoint"/>
      <w:lvlText w:val=""/>
      <w:lvlJc w:val="left"/>
      <w:pPr>
        <w:tabs>
          <w:tab w:val="num" w:pos="567"/>
        </w:tabs>
        <w:ind w:left="567" w:hanging="567"/>
      </w:pPr>
      <w:rPr>
        <w:rFonts w:ascii="Symbol" w:hAnsi="Symbol" w:hint="default"/>
      </w:rPr>
    </w:lvl>
    <w:lvl w:ilvl="1" w:tplc="5A86347C">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5E9A7F64"/>
    <w:multiLevelType w:val="hybridMultilevel"/>
    <w:tmpl w:val="0EB6C7CA"/>
    <w:lvl w:ilvl="0" w:tplc="46881ABA">
      <w:numFmt w:val="bullet"/>
      <w:pStyle w:val="BulletedPointIndent"/>
      <w:lvlText w:val="-"/>
      <w:lvlJc w:val="left"/>
      <w:pPr>
        <w:ind w:left="1287" w:hanging="360"/>
      </w:pPr>
      <w:rPr>
        <w:rFont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F9C396D"/>
    <w:multiLevelType w:val="hybridMultilevel"/>
    <w:tmpl w:val="65A016B8"/>
    <w:lvl w:ilvl="0" w:tplc="A0E28982">
      <w:start w:val="1"/>
      <w:numFmt w:val="bullet"/>
      <w:lvlText w:val="-"/>
      <w:lvlJc w:val="left"/>
      <w:pPr>
        <w:tabs>
          <w:tab w:val="num" w:pos="1080"/>
        </w:tabs>
        <w:ind w:left="1080" w:hanging="360"/>
      </w:pPr>
      <w:rPr>
        <w:rFonts w:hAnsi="Courier New" w:hint="default"/>
      </w:rPr>
    </w:lvl>
    <w:lvl w:ilvl="1" w:tplc="7604071E">
      <w:start w:val="1"/>
      <w:numFmt w:val="decimal"/>
      <w:lvlText w:val="%2."/>
      <w:lvlJc w:val="left"/>
      <w:pPr>
        <w:tabs>
          <w:tab w:val="num" w:pos="1139"/>
        </w:tabs>
        <w:ind w:left="1139" w:hanging="360"/>
      </w:pPr>
    </w:lvl>
    <w:lvl w:ilvl="2" w:tplc="04090005" w:tentative="1">
      <w:start w:val="1"/>
      <w:numFmt w:val="bullet"/>
      <w:lvlText w:val=""/>
      <w:lvlJc w:val="left"/>
      <w:pPr>
        <w:tabs>
          <w:tab w:val="num" w:pos="1859"/>
        </w:tabs>
        <w:ind w:left="1859" w:hanging="360"/>
      </w:pPr>
      <w:rPr>
        <w:rFonts w:ascii="Wingdings" w:hAnsi="Wingdings" w:hint="default"/>
      </w:rPr>
    </w:lvl>
    <w:lvl w:ilvl="3" w:tplc="04090001" w:tentative="1">
      <w:start w:val="1"/>
      <w:numFmt w:val="bullet"/>
      <w:lvlText w:val=""/>
      <w:lvlJc w:val="left"/>
      <w:pPr>
        <w:tabs>
          <w:tab w:val="num" w:pos="2579"/>
        </w:tabs>
        <w:ind w:left="2579" w:hanging="360"/>
      </w:pPr>
      <w:rPr>
        <w:rFonts w:ascii="Symbol" w:hAnsi="Symbol" w:hint="default"/>
      </w:rPr>
    </w:lvl>
    <w:lvl w:ilvl="4" w:tplc="04090003" w:tentative="1">
      <w:start w:val="1"/>
      <w:numFmt w:val="bullet"/>
      <w:lvlText w:val="o"/>
      <w:lvlJc w:val="left"/>
      <w:pPr>
        <w:tabs>
          <w:tab w:val="num" w:pos="3299"/>
        </w:tabs>
        <w:ind w:left="3299" w:hanging="360"/>
      </w:pPr>
      <w:rPr>
        <w:rFonts w:ascii="Courier New" w:hAnsi="Courier New" w:hint="default"/>
      </w:rPr>
    </w:lvl>
    <w:lvl w:ilvl="5" w:tplc="04090005" w:tentative="1">
      <w:start w:val="1"/>
      <w:numFmt w:val="bullet"/>
      <w:lvlText w:val=""/>
      <w:lvlJc w:val="left"/>
      <w:pPr>
        <w:tabs>
          <w:tab w:val="num" w:pos="4019"/>
        </w:tabs>
        <w:ind w:left="4019" w:hanging="360"/>
      </w:pPr>
      <w:rPr>
        <w:rFonts w:ascii="Wingdings" w:hAnsi="Wingdings" w:hint="default"/>
      </w:rPr>
    </w:lvl>
    <w:lvl w:ilvl="6" w:tplc="04090001" w:tentative="1">
      <w:start w:val="1"/>
      <w:numFmt w:val="bullet"/>
      <w:lvlText w:val=""/>
      <w:lvlJc w:val="left"/>
      <w:pPr>
        <w:tabs>
          <w:tab w:val="num" w:pos="4739"/>
        </w:tabs>
        <w:ind w:left="4739" w:hanging="360"/>
      </w:pPr>
      <w:rPr>
        <w:rFonts w:ascii="Symbol" w:hAnsi="Symbol" w:hint="default"/>
      </w:rPr>
    </w:lvl>
    <w:lvl w:ilvl="7" w:tplc="04090003" w:tentative="1">
      <w:start w:val="1"/>
      <w:numFmt w:val="bullet"/>
      <w:lvlText w:val="o"/>
      <w:lvlJc w:val="left"/>
      <w:pPr>
        <w:tabs>
          <w:tab w:val="num" w:pos="5459"/>
        </w:tabs>
        <w:ind w:left="5459" w:hanging="360"/>
      </w:pPr>
      <w:rPr>
        <w:rFonts w:ascii="Courier New" w:hAnsi="Courier New" w:hint="default"/>
      </w:rPr>
    </w:lvl>
    <w:lvl w:ilvl="8" w:tplc="04090005" w:tentative="1">
      <w:start w:val="1"/>
      <w:numFmt w:val="bullet"/>
      <w:lvlText w:val=""/>
      <w:lvlJc w:val="left"/>
      <w:pPr>
        <w:tabs>
          <w:tab w:val="num" w:pos="6179"/>
        </w:tabs>
        <w:ind w:left="6179" w:hanging="360"/>
      </w:pPr>
      <w:rPr>
        <w:rFonts w:ascii="Wingdings" w:hAnsi="Wingdings" w:hint="default"/>
      </w:rPr>
    </w:lvl>
  </w:abstractNum>
  <w:abstractNum w:abstractNumId="4" w15:restartNumberingAfterBreak="0">
    <w:nsid w:val="71870CED"/>
    <w:multiLevelType w:val="hybridMultilevel"/>
    <w:tmpl w:val="078838E0"/>
    <w:lvl w:ilvl="0" w:tplc="D878135C">
      <w:start w:val="1"/>
      <w:numFmt w:val="bullet"/>
      <w:lvlText w:val=""/>
      <w:lvlJc w:val="left"/>
      <w:pPr>
        <w:tabs>
          <w:tab w:val="num" w:pos="2115"/>
        </w:tabs>
        <w:ind w:left="2115" w:hanging="624"/>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1"/>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6F"/>
    <w:rsid w:val="00017A7C"/>
    <w:rsid w:val="00023C19"/>
    <w:rsid w:val="00027471"/>
    <w:rsid w:val="000310B1"/>
    <w:rsid w:val="000539B4"/>
    <w:rsid w:val="0009347F"/>
    <w:rsid w:val="00097A34"/>
    <w:rsid w:val="000C5A7C"/>
    <w:rsid w:val="00116D9E"/>
    <w:rsid w:val="00132283"/>
    <w:rsid w:val="001D3C7C"/>
    <w:rsid w:val="001E7AE6"/>
    <w:rsid w:val="001F1786"/>
    <w:rsid w:val="00215212"/>
    <w:rsid w:val="00224D6C"/>
    <w:rsid w:val="00241AB2"/>
    <w:rsid w:val="00242DFA"/>
    <w:rsid w:val="002B736F"/>
    <w:rsid w:val="002C2DC4"/>
    <w:rsid w:val="00360453"/>
    <w:rsid w:val="003963BC"/>
    <w:rsid w:val="003C2E4B"/>
    <w:rsid w:val="003D5006"/>
    <w:rsid w:val="003F7D2B"/>
    <w:rsid w:val="004738B9"/>
    <w:rsid w:val="0047774F"/>
    <w:rsid w:val="004A4F2F"/>
    <w:rsid w:val="004A7D11"/>
    <w:rsid w:val="004B0E14"/>
    <w:rsid w:val="005110B6"/>
    <w:rsid w:val="00587678"/>
    <w:rsid w:val="00590EBE"/>
    <w:rsid w:val="00594191"/>
    <w:rsid w:val="00597343"/>
    <w:rsid w:val="005C7833"/>
    <w:rsid w:val="006B7510"/>
    <w:rsid w:val="006C40C7"/>
    <w:rsid w:val="006C7B3B"/>
    <w:rsid w:val="006E0E54"/>
    <w:rsid w:val="006F009D"/>
    <w:rsid w:val="006F58BB"/>
    <w:rsid w:val="006F6737"/>
    <w:rsid w:val="00727431"/>
    <w:rsid w:val="0077497F"/>
    <w:rsid w:val="007E4941"/>
    <w:rsid w:val="008058F9"/>
    <w:rsid w:val="0082595B"/>
    <w:rsid w:val="00834050"/>
    <w:rsid w:val="008744DA"/>
    <w:rsid w:val="008C7202"/>
    <w:rsid w:val="008D6EA6"/>
    <w:rsid w:val="00932F17"/>
    <w:rsid w:val="009830DC"/>
    <w:rsid w:val="00994401"/>
    <w:rsid w:val="009967A0"/>
    <w:rsid w:val="009B7D7D"/>
    <w:rsid w:val="009C472B"/>
    <w:rsid w:val="009D42C0"/>
    <w:rsid w:val="00A12DBB"/>
    <w:rsid w:val="00A27054"/>
    <w:rsid w:val="00A3312D"/>
    <w:rsid w:val="00A376A6"/>
    <w:rsid w:val="00A56CB3"/>
    <w:rsid w:val="00A76DAB"/>
    <w:rsid w:val="00AC411B"/>
    <w:rsid w:val="00AE2398"/>
    <w:rsid w:val="00B27AB6"/>
    <w:rsid w:val="00B52529"/>
    <w:rsid w:val="00B831AC"/>
    <w:rsid w:val="00B976EB"/>
    <w:rsid w:val="00BE743F"/>
    <w:rsid w:val="00BF686D"/>
    <w:rsid w:val="00C074B4"/>
    <w:rsid w:val="00C126A9"/>
    <w:rsid w:val="00C24FCB"/>
    <w:rsid w:val="00C36D18"/>
    <w:rsid w:val="00C64B70"/>
    <w:rsid w:val="00C8269C"/>
    <w:rsid w:val="00CF78B1"/>
    <w:rsid w:val="00D079E8"/>
    <w:rsid w:val="00D31A61"/>
    <w:rsid w:val="00D45B01"/>
    <w:rsid w:val="00D6104B"/>
    <w:rsid w:val="00DA7873"/>
    <w:rsid w:val="00DC26DE"/>
    <w:rsid w:val="00DF38D0"/>
    <w:rsid w:val="00E52DB4"/>
    <w:rsid w:val="00E56D13"/>
    <w:rsid w:val="00EA7AD5"/>
    <w:rsid w:val="00ED005B"/>
    <w:rsid w:val="00EE0B30"/>
    <w:rsid w:val="00F03B35"/>
    <w:rsid w:val="00F632C1"/>
    <w:rsid w:val="00F92DD8"/>
    <w:rsid w:val="00FA3FBC"/>
    <w:rsid w:val="00FB5C17"/>
    <w:rsid w:val="00FC2121"/>
    <w:rsid w:val="00FC7930"/>
    <w:rsid w:val="00FE6D0C"/>
    <w:rsid w:val="00FF3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8C16B59-DB2E-491A-9C79-4A772E0D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A9"/>
    <w:rPr>
      <w:rFonts w:ascii="Arial" w:hAnsi="Arial"/>
      <w:b/>
      <w:noProof/>
      <w:lang w:eastAsia="en-US"/>
    </w:rPr>
  </w:style>
  <w:style w:type="paragraph" w:styleId="Heading1">
    <w:name w:val="heading 1"/>
    <w:basedOn w:val="Normal"/>
    <w:next w:val="Normal"/>
    <w:qFormat/>
    <w:rsid w:val="00F632C1"/>
    <w:pPr>
      <w:keepNext/>
      <w:spacing w:before="360" w:after="120"/>
      <w:outlineLvl w:val="0"/>
    </w:pPr>
    <w:rPr>
      <w:rFonts w:cs="Arial"/>
      <w:bCs/>
      <w:color w:val="BEB97E"/>
      <w:kern w:val="32"/>
      <w:sz w:val="28"/>
      <w:szCs w:val="32"/>
    </w:rPr>
  </w:style>
  <w:style w:type="paragraph" w:styleId="Heading2">
    <w:name w:val="heading 2"/>
    <w:basedOn w:val="Normal"/>
    <w:next w:val="Normal"/>
    <w:qFormat/>
    <w:rsid w:val="00F632C1"/>
    <w:pPr>
      <w:keepNext/>
      <w:spacing w:before="240" w:after="120"/>
      <w:outlineLvl w:val="1"/>
    </w:pPr>
    <w:rPr>
      <w:rFonts w:cs="Arial"/>
      <w:bCs/>
      <w:iCs/>
      <w:color w:val="333333"/>
      <w:sz w:val="24"/>
      <w:szCs w:val="28"/>
    </w:rPr>
  </w:style>
  <w:style w:type="paragraph" w:styleId="Heading3">
    <w:name w:val="heading 3"/>
    <w:basedOn w:val="Normal"/>
    <w:next w:val="Normal"/>
    <w:qFormat/>
    <w:rsid w:val="00F632C1"/>
    <w:pPr>
      <w:keepNext/>
      <w:spacing w:before="120" w:after="60"/>
      <w:ind w:left="567"/>
      <w:outlineLvl w:val="2"/>
    </w:pPr>
    <w:rPr>
      <w:color w:val="333333"/>
      <w:sz w:val="22"/>
      <w:lang w:val="en-US"/>
    </w:rPr>
  </w:style>
  <w:style w:type="paragraph" w:styleId="Heading4">
    <w:name w:val="heading 4"/>
    <w:basedOn w:val="Normal"/>
    <w:next w:val="Normal"/>
    <w:autoRedefine/>
    <w:qFormat/>
    <w:rsid w:val="004A4F2F"/>
    <w:pPr>
      <w:keepNext/>
      <w:spacing w:before="120" w:after="60"/>
      <w:ind w:left="1134"/>
      <w:outlineLvl w:val="3"/>
    </w:pPr>
    <w:rPr>
      <w:rFonts w:ascii="Arial Bold" w:hAnsi="Arial Bold"/>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val="0"/>
      <w:color w:val="CC0000"/>
      <w:sz w:val="24"/>
    </w:rPr>
  </w:style>
  <w:style w:type="paragraph" w:styleId="Footer">
    <w:name w:val="footer"/>
    <w:basedOn w:val="Normal"/>
    <w:pPr>
      <w:tabs>
        <w:tab w:val="center" w:pos="4153"/>
        <w:tab w:val="right" w:pos="8306"/>
      </w:tabs>
    </w:pPr>
    <w:rPr>
      <w:b w:val="0"/>
      <w:color w:val="000000"/>
      <w:sz w:val="16"/>
    </w:rPr>
  </w:style>
  <w:style w:type="paragraph" w:styleId="TOC3">
    <w:name w:val="toc 3"/>
    <w:basedOn w:val="Normal"/>
    <w:next w:val="Normal"/>
    <w:autoRedefine/>
    <w:rsid w:val="00224D6C"/>
    <w:pPr>
      <w:tabs>
        <w:tab w:val="right" w:pos="9328"/>
      </w:tabs>
      <w:spacing w:after="120"/>
      <w:ind w:left="567"/>
    </w:pPr>
    <w:rPr>
      <w:b w:val="0"/>
      <w:sz w:val="22"/>
    </w:rPr>
  </w:style>
  <w:style w:type="paragraph" w:customStyle="1" w:styleId="DocumentContent">
    <w:name w:val="Document Content"/>
    <w:basedOn w:val="Normal"/>
    <w:link w:val="DocumentContentChar"/>
    <w:pPr>
      <w:spacing w:after="120"/>
    </w:pPr>
    <w:rPr>
      <w:b w:val="0"/>
      <w:bCs/>
      <w:sz w:val="22"/>
    </w:rPr>
  </w:style>
  <w:style w:type="paragraph" w:customStyle="1" w:styleId="BulletedPoint">
    <w:name w:val="Bulleted Point"/>
    <w:basedOn w:val="Normal"/>
    <w:rsid w:val="008D6EA6"/>
    <w:pPr>
      <w:numPr>
        <w:numId w:val="6"/>
      </w:numPr>
      <w:spacing w:after="120"/>
    </w:pPr>
    <w:rPr>
      <w:b w:val="0"/>
      <w:color w:val="000000"/>
      <w:sz w:val="22"/>
      <w:lang w:val="en-US"/>
    </w:rPr>
  </w:style>
  <w:style w:type="paragraph" w:customStyle="1" w:styleId="SubBulletedPoint">
    <w:name w:val="Sub Bulleted Point"/>
    <w:basedOn w:val="BulletedPoint"/>
    <w:rsid w:val="00C074B4"/>
    <w:pPr>
      <w:numPr>
        <w:ilvl w:val="1"/>
      </w:numPr>
      <w:tabs>
        <w:tab w:val="clear" w:pos="2007"/>
        <w:tab w:val="left" w:pos="1134"/>
      </w:tabs>
      <w:ind w:left="1134" w:hanging="567"/>
    </w:pPr>
    <w:rPr>
      <w:color w:val="auto"/>
    </w:rPr>
  </w:style>
  <w:style w:type="paragraph" w:customStyle="1" w:styleId="WebAddress">
    <w:name w:val="Web Address"/>
    <w:basedOn w:val="Normal"/>
    <w:pPr>
      <w:spacing w:before="40" w:after="40"/>
      <w:ind w:left="567"/>
    </w:pPr>
    <w:rPr>
      <w:b w:val="0"/>
      <w:color w:val="000080"/>
      <w:sz w:val="22"/>
      <w:u w:val="single"/>
      <w:lang w:val="en-US"/>
    </w:rPr>
  </w:style>
  <w:style w:type="paragraph" w:customStyle="1" w:styleId="FactSheetTitle">
    <w:name w:val="Fact Sheet Title"/>
    <w:basedOn w:val="Heading1"/>
    <w:pPr>
      <w:spacing w:before="480" w:after="240"/>
    </w:pPr>
    <w:rPr>
      <w:color w:val="333333"/>
      <w:lang w:val="en-US"/>
    </w:rPr>
  </w:style>
  <w:style w:type="paragraph" w:customStyle="1" w:styleId="BulletedPointIndent">
    <w:name w:val="Bulleted Point Indent"/>
    <w:basedOn w:val="BulletedPoint"/>
    <w:qFormat/>
    <w:rsid w:val="008744DA"/>
    <w:pPr>
      <w:numPr>
        <w:numId w:val="14"/>
      </w:numPr>
      <w:tabs>
        <w:tab w:val="left" w:pos="1134"/>
      </w:tabs>
    </w:pPr>
    <w:rPr>
      <w:color w:val="auto"/>
    </w:rPr>
  </w:style>
  <w:style w:type="paragraph" w:customStyle="1" w:styleId="DocumentContentIndent">
    <w:name w:val="Document Content Indent"/>
    <w:basedOn w:val="Normal"/>
    <w:rsid w:val="00FC7930"/>
    <w:pPr>
      <w:spacing w:after="120"/>
      <w:ind w:left="567"/>
    </w:pPr>
    <w:rPr>
      <w:b w:val="0"/>
      <w:sz w:val="22"/>
      <w:lang w:val="en-US"/>
    </w:rPr>
  </w:style>
  <w:style w:type="paragraph" w:styleId="TOC2">
    <w:name w:val="toc 2"/>
    <w:basedOn w:val="Normal"/>
    <w:next w:val="Normal"/>
    <w:autoRedefine/>
    <w:rsid w:val="00224D6C"/>
    <w:pPr>
      <w:tabs>
        <w:tab w:val="right" w:pos="9328"/>
      </w:tabs>
      <w:spacing w:after="120"/>
      <w:ind w:left="284"/>
    </w:pPr>
    <w:rPr>
      <w:b w:val="0"/>
      <w:sz w:val="22"/>
    </w:rPr>
  </w:style>
  <w:style w:type="paragraph" w:styleId="TOC1">
    <w:name w:val="toc 1"/>
    <w:basedOn w:val="Normal"/>
    <w:next w:val="Normal"/>
    <w:autoRedefine/>
    <w:rsid w:val="00224D6C"/>
    <w:pPr>
      <w:tabs>
        <w:tab w:val="right" w:pos="9328"/>
      </w:tabs>
      <w:spacing w:after="120"/>
    </w:pPr>
    <w:rPr>
      <w:sz w:val="22"/>
    </w:rPr>
  </w:style>
  <w:style w:type="character" w:styleId="FollowedHyperlink">
    <w:name w:val="FollowedHyperlink"/>
    <w:rsid w:val="00FA3FBC"/>
    <w:rPr>
      <w:color w:val="800080"/>
      <w:u w:val="single"/>
    </w:rPr>
  </w:style>
  <w:style w:type="paragraph" w:customStyle="1" w:styleId="GuidenoteNormal">
    <w:name w:val="Guidenote Normal"/>
    <w:basedOn w:val="Normal"/>
    <w:rsid w:val="00C126A9"/>
    <w:pPr>
      <w:spacing w:before="120" w:after="120"/>
      <w:jc w:val="both"/>
    </w:pPr>
    <w:rPr>
      <w:b w:val="0"/>
      <w:noProof w:val="0"/>
      <w:sz w:val="22"/>
    </w:rPr>
  </w:style>
  <w:style w:type="paragraph" w:customStyle="1" w:styleId="TableContent">
    <w:name w:val="Table Content"/>
    <w:basedOn w:val="DocumentContent"/>
    <w:qFormat/>
    <w:rsid w:val="008C7202"/>
    <w:pPr>
      <w:spacing w:before="60" w:after="60"/>
    </w:pPr>
    <w:rPr>
      <w:bCs w:val="0"/>
      <w:sz w:val="20"/>
    </w:rPr>
  </w:style>
  <w:style w:type="paragraph" w:customStyle="1" w:styleId="StyleTableContentBold">
    <w:name w:val="Style Table Content + Bold"/>
    <w:basedOn w:val="TableContent"/>
    <w:rsid w:val="008C7202"/>
    <w:rPr>
      <w:b/>
      <w:bCs/>
    </w:rPr>
  </w:style>
  <w:style w:type="table" w:styleId="TableGrid">
    <w:name w:val="Table Grid"/>
    <w:basedOn w:val="TableNormal"/>
    <w:rsid w:val="00ED0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27AB6"/>
    <w:rPr>
      <w:color w:val="0000FF"/>
      <w:u w:val="single"/>
    </w:rPr>
  </w:style>
  <w:style w:type="character" w:customStyle="1" w:styleId="DocumentContentChar">
    <w:name w:val="Document Content Char"/>
    <w:link w:val="DocumentContent"/>
    <w:rsid w:val="00B27AB6"/>
    <w:rPr>
      <w:rFonts w:ascii="Arial" w:hAnsi="Arial"/>
      <w:bCs/>
      <w:noProof/>
      <w:sz w:val="22"/>
      <w:lang w:eastAsia="en-US"/>
    </w:rPr>
  </w:style>
  <w:style w:type="paragraph" w:styleId="BalloonText">
    <w:name w:val="Balloon Text"/>
    <w:basedOn w:val="Normal"/>
    <w:link w:val="BalloonTextChar"/>
    <w:rsid w:val="00FC2121"/>
    <w:rPr>
      <w:rFonts w:ascii="Tahoma" w:hAnsi="Tahoma" w:cs="Tahoma"/>
      <w:sz w:val="16"/>
      <w:szCs w:val="16"/>
    </w:rPr>
  </w:style>
  <w:style w:type="character" w:customStyle="1" w:styleId="BalloonTextChar">
    <w:name w:val="Balloon Text Char"/>
    <w:link w:val="BalloonText"/>
    <w:rsid w:val="00FC2121"/>
    <w:rPr>
      <w:rFonts w:ascii="Tahoma" w:hAnsi="Tahoma" w:cs="Tahoma"/>
      <w:b/>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contractor_documents/tender_evaluation_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enB01\Desktop\Factsheet%20BM%20template%20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5032-FA96-427D-8BF5-4EDFBC11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BM template v1-2</Template>
  <TotalTime>10</TotalTime>
  <Pages>9</Pages>
  <Words>2784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Fact Sheet Title – Arial 14pt Bold – Title Case</vt:lpstr>
    </vt:vector>
  </TitlesOfParts>
  <Company>DAIS</Company>
  <LinksUpToDate>false</LinksUpToDate>
  <CharactersWithSpaces>19304</CharactersWithSpaces>
  <SharedDoc>false</SharedDoc>
  <HLinks>
    <vt:vector size="18" baseType="variant">
      <vt:variant>
        <vt:i4>5111933</vt:i4>
      </vt:variant>
      <vt:variant>
        <vt:i4>6</vt:i4>
      </vt:variant>
      <vt:variant>
        <vt:i4>0</vt:i4>
      </vt:variant>
      <vt:variant>
        <vt:i4>5</vt:i4>
      </vt:variant>
      <vt:variant>
        <vt:lpwstr>mailto:john.domino@sa.gov.au</vt:lpwstr>
      </vt:variant>
      <vt:variant>
        <vt:lpwstr/>
      </vt:variant>
      <vt:variant>
        <vt:i4>983099</vt:i4>
      </vt:variant>
      <vt:variant>
        <vt:i4>3</vt:i4>
      </vt:variant>
      <vt:variant>
        <vt:i4>0</vt:i4>
      </vt:variant>
      <vt:variant>
        <vt:i4>5</vt:i4>
      </vt:variant>
      <vt:variant>
        <vt:lpwstr>http://www.infrastructure.sa.gov.au/BuildingManagement/policies/_nocache</vt:lpwstr>
      </vt:variant>
      <vt:variant>
        <vt:lpwstr/>
      </vt:variant>
      <vt:variant>
        <vt:i4>2818161</vt:i4>
      </vt:variant>
      <vt:variant>
        <vt:i4>0</vt:i4>
      </vt:variant>
      <vt:variant>
        <vt:i4>0</vt:i4>
      </vt:variant>
      <vt:variant>
        <vt:i4>5</vt:i4>
      </vt:variant>
      <vt:variant>
        <vt:lpwstr>http://www.infrastructure.sa.gov.au/BuildingManagement/policies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Title – Arial 14pt Bold – Title Case</dc:title>
  <dc:subject/>
  <dc:creator>AllenB01</dc:creator>
  <cp:keywords/>
  <cp:lastModifiedBy>Georgette Webb</cp:lastModifiedBy>
  <cp:revision>5</cp:revision>
  <cp:lastPrinted>2013-05-20T04:38:00Z</cp:lastPrinted>
  <dcterms:created xsi:type="dcterms:W3CDTF">2020-09-10T01:54:00Z</dcterms:created>
  <dcterms:modified xsi:type="dcterms:W3CDTF">2021-12-09T22:16:00Z</dcterms:modified>
</cp:coreProperties>
</file>